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80A9" w14:textId="77777777" w:rsidR="00950C0A" w:rsidRDefault="002A6E66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  <w:lang w:eastAsia="en-GB"/>
        </w:rPr>
        <w:drawing>
          <wp:anchor distT="0" distB="0" distL="114300" distR="114300" simplePos="0" relativeHeight="251656192" behindDoc="0" locked="0" layoutInCell="1" allowOverlap="1" wp14:anchorId="522081A3" wp14:editId="522081A4">
            <wp:simplePos x="0" y="0"/>
            <wp:positionH relativeFrom="column">
              <wp:posOffset>5235575</wp:posOffset>
            </wp:positionH>
            <wp:positionV relativeFrom="paragraph">
              <wp:posOffset>-552450</wp:posOffset>
            </wp:positionV>
            <wp:extent cx="1334135" cy="635000"/>
            <wp:effectExtent l="0" t="0" r="0" b="0"/>
            <wp:wrapSquare wrapText="bothSides"/>
            <wp:docPr id="2" name="Picture 2" descr="C:\Users\Caroline\Desktop\FPS\Marketing &amp; PR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FPS\Marketing &amp; PR\Logos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80AA" w14:textId="0BB06AEE" w:rsidR="008F53BD" w:rsidRPr="00C90475" w:rsidRDefault="000433C6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SAFETY </w:t>
      </w:r>
      <w:r w:rsidR="00434BFB">
        <w:rPr>
          <w:rFonts w:ascii="Arial" w:hAnsi="Arial" w:cs="Arial"/>
          <w:b/>
          <w:szCs w:val="24"/>
        </w:rPr>
        <w:t>&amp; TRAINING FORUM</w:t>
      </w:r>
      <w:r>
        <w:rPr>
          <w:rFonts w:ascii="Arial" w:hAnsi="Arial" w:cs="Arial"/>
          <w:b/>
          <w:szCs w:val="24"/>
        </w:rPr>
        <w:t xml:space="preserve"> R</w:t>
      </w:r>
      <w:r w:rsidR="00950C0A" w:rsidRPr="00C90475">
        <w:rPr>
          <w:rFonts w:ascii="Arial" w:hAnsi="Arial" w:cs="Arial"/>
          <w:b/>
          <w:szCs w:val="24"/>
        </w:rPr>
        <w:t xml:space="preserve">EPORT </w:t>
      </w:r>
      <w:r w:rsidR="0005261D" w:rsidRPr="00C90475">
        <w:rPr>
          <w:rFonts w:ascii="Arial" w:hAnsi="Arial" w:cs="Arial"/>
          <w:b/>
          <w:szCs w:val="24"/>
        </w:rPr>
        <w:t xml:space="preserve">FOR PRESENTATION </w:t>
      </w:r>
      <w:r w:rsidR="00950C0A" w:rsidRPr="00C90475">
        <w:rPr>
          <w:rFonts w:ascii="Arial" w:hAnsi="Arial" w:cs="Arial"/>
          <w:b/>
          <w:szCs w:val="24"/>
        </w:rPr>
        <w:t>AT</w:t>
      </w:r>
      <w:r w:rsidR="0005261D" w:rsidRPr="00C90475">
        <w:rPr>
          <w:rFonts w:ascii="Arial" w:hAnsi="Arial" w:cs="Arial"/>
          <w:b/>
          <w:szCs w:val="24"/>
        </w:rPr>
        <w:t xml:space="preserve"> THE QUARTERLY MEETING ON </w:t>
      </w:r>
      <w:r w:rsidR="006D771C">
        <w:rPr>
          <w:rFonts w:ascii="Arial" w:hAnsi="Arial" w:cs="Arial"/>
          <w:b/>
          <w:szCs w:val="24"/>
        </w:rPr>
        <w:t>24</w:t>
      </w:r>
      <w:r w:rsidR="006D771C">
        <w:rPr>
          <w:rFonts w:ascii="Arial" w:hAnsi="Arial" w:cs="Arial"/>
          <w:b/>
          <w:szCs w:val="24"/>
          <w:vertAlign w:val="superscript"/>
        </w:rPr>
        <w:t xml:space="preserve">TH </w:t>
      </w:r>
      <w:r w:rsidR="006D771C">
        <w:rPr>
          <w:rFonts w:ascii="Arial" w:hAnsi="Arial" w:cs="Arial"/>
          <w:b/>
          <w:szCs w:val="24"/>
        </w:rPr>
        <w:t>APRIL</w:t>
      </w:r>
      <w:r w:rsidR="00BD3505">
        <w:rPr>
          <w:rFonts w:ascii="Arial" w:hAnsi="Arial" w:cs="Arial"/>
          <w:b/>
          <w:szCs w:val="24"/>
        </w:rPr>
        <w:t xml:space="preserve"> </w:t>
      </w:r>
      <w:r w:rsidR="00D26712">
        <w:rPr>
          <w:rFonts w:ascii="Arial" w:hAnsi="Arial" w:cs="Arial"/>
          <w:b/>
          <w:szCs w:val="24"/>
        </w:rPr>
        <w:t>2</w:t>
      </w:r>
      <w:r w:rsidR="000D5AE5">
        <w:rPr>
          <w:rFonts w:ascii="Arial" w:hAnsi="Arial" w:cs="Arial"/>
          <w:b/>
          <w:szCs w:val="24"/>
        </w:rPr>
        <w:t>017</w:t>
      </w:r>
    </w:p>
    <w:p w14:paraId="522080AB" w14:textId="77777777" w:rsidR="007B3C72" w:rsidRDefault="007B3C72">
      <w:pPr>
        <w:tabs>
          <w:tab w:val="left" w:pos="600"/>
          <w:tab w:val="left" w:pos="1200"/>
          <w:tab w:val="left" w:pos="1800"/>
          <w:tab w:val="left" w:pos="3548"/>
          <w:tab w:val="right" w:pos="6000"/>
          <w:tab w:val="right" w:pos="7080"/>
          <w:tab w:val="right" w:pos="8160"/>
          <w:tab w:val="right" w:pos="9240"/>
        </w:tabs>
        <w:jc w:val="both"/>
        <w:rPr>
          <w:rFonts w:ascii="Arial" w:hAnsi="Arial" w:cs="Arial"/>
          <w:sz w:val="20"/>
        </w:rPr>
      </w:pPr>
    </w:p>
    <w:p w14:paraId="04B32C65" w14:textId="77777777" w:rsidR="00CC3438" w:rsidRPr="000D5AE5" w:rsidRDefault="00CC3438">
      <w:pPr>
        <w:tabs>
          <w:tab w:val="left" w:pos="600"/>
          <w:tab w:val="left" w:pos="1200"/>
          <w:tab w:val="left" w:pos="1800"/>
          <w:tab w:val="left" w:pos="3548"/>
          <w:tab w:val="right" w:pos="6000"/>
          <w:tab w:val="right" w:pos="7080"/>
          <w:tab w:val="right" w:pos="8160"/>
          <w:tab w:val="right" w:pos="9240"/>
        </w:tabs>
        <w:jc w:val="both"/>
        <w:rPr>
          <w:rFonts w:ascii="Arial" w:hAnsi="Arial" w:cs="Arial"/>
          <w:sz w:val="20"/>
        </w:rPr>
      </w:pPr>
    </w:p>
    <w:p w14:paraId="522080AC" w14:textId="3C23FBD8" w:rsidR="002A1B17" w:rsidRPr="000D5AE5" w:rsidRDefault="002A1B17" w:rsidP="002A1B17">
      <w:pPr>
        <w:pStyle w:val="BodyText"/>
        <w:outlineLvl w:val="0"/>
        <w:rPr>
          <w:rFonts w:ascii="Arial" w:hAnsi="Arial" w:cs="Arial"/>
          <w:b/>
        </w:rPr>
      </w:pPr>
      <w:r w:rsidRPr="000D5AE5">
        <w:rPr>
          <w:rFonts w:ascii="Arial" w:hAnsi="Arial" w:cs="Arial"/>
          <w:b/>
        </w:rPr>
        <w:t xml:space="preserve">Date of Reported Meeting: </w:t>
      </w:r>
      <w:r w:rsidR="006D771C">
        <w:rPr>
          <w:rFonts w:ascii="Arial" w:hAnsi="Arial" w:cs="Arial"/>
        </w:rPr>
        <w:t>8</w:t>
      </w:r>
      <w:r w:rsidR="006D771C">
        <w:rPr>
          <w:rFonts w:ascii="Arial" w:hAnsi="Arial" w:cs="Arial"/>
          <w:vertAlign w:val="superscript"/>
        </w:rPr>
        <w:t xml:space="preserve">th </w:t>
      </w:r>
      <w:r w:rsidR="006D771C">
        <w:rPr>
          <w:rFonts w:ascii="Arial" w:hAnsi="Arial" w:cs="Arial"/>
        </w:rPr>
        <w:t>March 2017</w:t>
      </w:r>
    </w:p>
    <w:p w14:paraId="522080AD" w14:textId="54EF88E1" w:rsidR="002A1B17" w:rsidRPr="001D01AC" w:rsidRDefault="002A1B17" w:rsidP="002A1B17">
      <w:pPr>
        <w:pStyle w:val="BodyText"/>
        <w:outlineLvl w:val="0"/>
        <w:rPr>
          <w:rFonts w:ascii="Arial" w:hAnsi="Arial" w:cs="Arial"/>
        </w:rPr>
      </w:pPr>
      <w:r w:rsidRPr="001D01AC">
        <w:rPr>
          <w:rFonts w:ascii="Arial" w:hAnsi="Arial" w:cs="Arial"/>
          <w:b/>
        </w:rPr>
        <w:t xml:space="preserve">Date of Next Meeting: </w:t>
      </w:r>
      <w:r w:rsidR="001D01AC" w:rsidRPr="001D01AC">
        <w:rPr>
          <w:rFonts w:ascii="Arial" w:hAnsi="Arial" w:cs="Arial"/>
        </w:rPr>
        <w:t>1</w:t>
      </w:r>
      <w:r w:rsidR="001D01AC" w:rsidRPr="001D01AC">
        <w:rPr>
          <w:rFonts w:ascii="Arial" w:hAnsi="Arial" w:cs="Arial"/>
          <w:vertAlign w:val="superscript"/>
        </w:rPr>
        <w:t>st</w:t>
      </w:r>
      <w:r w:rsidR="001D01AC" w:rsidRPr="001D01AC">
        <w:rPr>
          <w:rFonts w:ascii="Arial" w:hAnsi="Arial" w:cs="Arial"/>
        </w:rPr>
        <w:t xml:space="preserve"> June 2017</w:t>
      </w:r>
    </w:p>
    <w:p w14:paraId="522080AE" w14:textId="77777777" w:rsidR="0038754B" w:rsidRDefault="0038754B" w:rsidP="002A1B17">
      <w:pPr>
        <w:pStyle w:val="BodyText"/>
        <w:outlineLvl w:val="0"/>
        <w:rPr>
          <w:rFonts w:ascii="Arial" w:hAnsi="Arial" w:cs="Arial"/>
          <w:color w:val="FF0000"/>
        </w:rPr>
      </w:pPr>
    </w:p>
    <w:p w14:paraId="4C3068F9" w14:textId="77777777" w:rsidR="00B92DDB" w:rsidRDefault="00B92DDB" w:rsidP="00B92DDB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sz w:val="20"/>
        </w:rPr>
      </w:pPr>
      <w:r w:rsidRPr="00EA2438">
        <w:rPr>
          <w:rFonts w:ascii="Arial" w:hAnsi="Arial" w:cs="Arial"/>
          <w:b/>
          <w:sz w:val="20"/>
        </w:rPr>
        <w:t xml:space="preserve">Concrete Blowing Out </w:t>
      </w:r>
      <w:r>
        <w:rPr>
          <w:rFonts w:ascii="Arial" w:hAnsi="Arial" w:cs="Arial"/>
          <w:b/>
          <w:sz w:val="20"/>
        </w:rPr>
        <w:t>Procedures</w:t>
      </w:r>
    </w:p>
    <w:p w14:paraId="7837F5F7" w14:textId="39D2C9F5" w:rsidR="00B92DDB" w:rsidRPr="00EA2438" w:rsidRDefault="00B92DDB" w:rsidP="00B92DDB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Expanded</w:t>
      </w:r>
      <w:r w:rsidR="00752EFE">
        <w:rPr>
          <w:rFonts w:ascii="Arial" w:hAnsi="Arial" w:cs="Arial"/>
          <w:sz w:val="20"/>
        </w:rPr>
        <w:t>, i</w:t>
      </w:r>
      <w:r w:rsidR="00042F90">
        <w:rPr>
          <w:rFonts w:ascii="Arial" w:hAnsi="Arial" w:cs="Arial"/>
          <w:sz w:val="20"/>
        </w:rPr>
        <w:t>n collaboration with other FPS m</w:t>
      </w:r>
      <w:r w:rsidR="00752EFE">
        <w:rPr>
          <w:rFonts w:ascii="Arial" w:hAnsi="Arial" w:cs="Arial"/>
          <w:sz w:val="20"/>
        </w:rPr>
        <w:t>embers,</w:t>
      </w:r>
      <w:r>
        <w:rPr>
          <w:rFonts w:ascii="Arial" w:hAnsi="Arial" w:cs="Arial"/>
          <w:sz w:val="20"/>
        </w:rPr>
        <w:t xml:space="preserve"> are working on a process to improve the safety</w:t>
      </w:r>
      <w:r w:rsidR="00752EFE">
        <w:rPr>
          <w:rFonts w:ascii="Arial" w:hAnsi="Arial" w:cs="Arial"/>
          <w:sz w:val="20"/>
        </w:rPr>
        <w:t xml:space="preserve"> of blowing out procedures.  An interim solution has been identified that will reduce the risks in many circumstances.  </w:t>
      </w:r>
      <w:r w:rsidRPr="00EA2438">
        <w:rPr>
          <w:rFonts w:ascii="Arial" w:hAnsi="Arial" w:cs="Arial"/>
          <w:sz w:val="20"/>
        </w:rPr>
        <w:t xml:space="preserve">The </w:t>
      </w:r>
      <w:r w:rsidR="00752EFE">
        <w:rPr>
          <w:rFonts w:ascii="Arial" w:hAnsi="Arial" w:cs="Arial"/>
          <w:sz w:val="20"/>
        </w:rPr>
        <w:t xml:space="preserve">overall </w:t>
      </w:r>
      <w:r w:rsidRPr="00EA2438">
        <w:rPr>
          <w:rFonts w:ascii="Arial" w:hAnsi="Arial" w:cs="Arial"/>
          <w:sz w:val="20"/>
        </w:rPr>
        <w:t xml:space="preserve">intention is </w:t>
      </w:r>
      <w:r w:rsidR="00752EFE">
        <w:rPr>
          <w:rFonts w:ascii="Arial" w:hAnsi="Arial" w:cs="Arial"/>
          <w:sz w:val="20"/>
        </w:rPr>
        <w:t xml:space="preserve">for the above individuals </w:t>
      </w:r>
      <w:r w:rsidRPr="00EA2438">
        <w:rPr>
          <w:rFonts w:ascii="Arial" w:hAnsi="Arial" w:cs="Arial"/>
          <w:sz w:val="20"/>
        </w:rPr>
        <w:t>to produce an addendum to the FPS Concrete Pumping Guidance</w:t>
      </w:r>
      <w:r w:rsidR="00752EFE">
        <w:rPr>
          <w:rFonts w:ascii="Arial" w:hAnsi="Arial" w:cs="Arial"/>
          <w:sz w:val="20"/>
        </w:rPr>
        <w:t>.</w:t>
      </w:r>
    </w:p>
    <w:p w14:paraId="72C4E073" w14:textId="77777777" w:rsidR="00C25CB9" w:rsidRPr="006D771C" w:rsidRDefault="00C25CB9" w:rsidP="002A1B17">
      <w:pPr>
        <w:pStyle w:val="BodyText"/>
        <w:outlineLvl w:val="0"/>
        <w:rPr>
          <w:rFonts w:ascii="Arial" w:hAnsi="Arial" w:cs="Arial"/>
          <w:color w:val="FF0000"/>
        </w:rPr>
      </w:pPr>
    </w:p>
    <w:p w14:paraId="498E0583" w14:textId="46D75B97" w:rsidR="000F5758" w:rsidRPr="00A4231C" w:rsidRDefault="000F5758" w:rsidP="0038754B">
      <w:pPr>
        <w:pStyle w:val="minsbody"/>
        <w:ind w:left="0"/>
        <w:rPr>
          <w:rFonts w:ascii="Arial" w:hAnsi="Arial" w:cs="Arial"/>
          <w:b/>
        </w:rPr>
      </w:pPr>
      <w:r w:rsidRPr="00A4231C">
        <w:rPr>
          <w:rFonts w:ascii="Arial" w:hAnsi="Arial" w:cs="Arial"/>
          <w:b/>
        </w:rPr>
        <w:t>Unexploded Ordinance</w:t>
      </w:r>
    </w:p>
    <w:p w14:paraId="1AFBBEE7" w14:textId="37C78FEE" w:rsidR="000F5758" w:rsidRPr="00A4231C" w:rsidRDefault="006B7717" w:rsidP="0038754B">
      <w:pPr>
        <w:pStyle w:val="minsbody"/>
        <w:ind w:left="0"/>
        <w:rPr>
          <w:rFonts w:ascii="Arial" w:hAnsi="Arial" w:cs="Arial"/>
        </w:rPr>
      </w:pPr>
      <w:r w:rsidRPr="00A4231C">
        <w:rPr>
          <w:rFonts w:ascii="Arial" w:hAnsi="Arial" w:cs="Arial"/>
        </w:rPr>
        <w:t>T</w:t>
      </w:r>
      <w:r w:rsidR="000F5758" w:rsidRPr="00A4231C">
        <w:rPr>
          <w:rFonts w:ascii="Arial" w:hAnsi="Arial" w:cs="Arial"/>
        </w:rPr>
        <w:t xml:space="preserve">he Pre-commencement Piling Standard </w:t>
      </w:r>
      <w:r w:rsidR="00A4231C" w:rsidRPr="00A4231C">
        <w:rPr>
          <w:rFonts w:ascii="Arial" w:hAnsi="Arial" w:cs="Arial"/>
        </w:rPr>
        <w:t>has been reviewed by the Chair and will be added to this document.</w:t>
      </w:r>
    </w:p>
    <w:p w14:paraId="61579156" w14:textId="77777777" w:rsidR="000F5758" w:rsidRPr="006D771C" w:rsidRDefault="000F5758" w:rsidP="0038754B">
      <w:pPr>
        <w:pStyle w:val="minsbody"/>
        <w:ind w:left="0"/>
        <w:rPr>
          <w:rFonts w:ascii="Arial" w:hAnsi="Arial" w:cs="Arial"/>
          <w:color w:val="FF0000"/>
        </w:rPr>
      </w:pPr>
    </w:p>
    <w:p w14:paraId="66A0CAE4" w14:textId="77777777" w:rsidR="000F5758" w:rsidRPr="00E244A9" w:rsidRDefault="000F5758" w:rsidP="000F5758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sz w:val="20"/>
        </w:rPr>
      </w:pPr>
      <w:r w:rsidRPr="00E244A9">
        <w:rPr>
          <w:rFonts w:ascii="Arial" w:hAnsi="Arial" w:cs="Arial"/>
          <w:b/>
          <w:sz w:val="20"/>
        </w:rPr>
        <w:t>Coroner’s Report on Fatality 2014 Involving RS70 RIG</w:t>
      </w:r>
    </w:p>
    <w:p w14:paraId="320DEB63" w14:textId="6121D8A5" w:rsidR="001A56FF" w:rsidRDefault="000F5758" w:rsidP="000F5758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  <w:r w:rsidRPr="00E244A9">
        <w:rPr>
          <w:rFonts w:ascii="Arial" w:hAnsi="Arial" w:cs="Arial"/>
          <w:sz w:val="20"/>
        </w:rPr>
        <w:t>FPS Chair, Alasdair Henderson,</w:t>
      </w:r>
      <w:r w:rsidR="00E244A9" w:rsidRPr="00E244A9">
        <w:rPr>
          <w:rFonts w:ascii="Arial" w:hAnsi="Arial" w:cs="Arial"/>
          <w:sz w:val="20"/>
        </w:rPr>
        <w:t xml:space="preserve"> has formally responded</w:t>
      </w:r>
      <w:r w:rsidR="00E244A9">
        <w:rPr>
          <w:rFonts w:ascii="Arial" w:hAnsi="Arial" w:cs="Arial"/>
          <w:sz w:val="20"/>
        </w:rPr>
        <w:t xml:space="preserve"> to the Coroner’s Report and a copy of the response </w:t>
      </w:r>
      <w:r w:rsidR="001D01AC">
        <w:rPr>
          <w:rFonts w:ascii="Arial" w:hAnsi="Arial" w:cs="Arial"/>
          <w:sz w:val="20"/>
        </w:rPr>
        <w:t>will be</w:t>
      </w:r>
      <w:r w:rsidR="00E244A9">
        <w:rPr>
          <w:rFonts w:ascii="Arial" w:hAnsi="Arial" w:cs="Arial"/>
          <w:sz w:val="20"/>
        </w:rPr>
        <w:t xml:space="preserve"> circulated </w:t>
      </w:r>
      <w:r w:rsidR="00A73951">
        <w:rPr>
          <w:rFonts w:ascii="Arial" w:hAnsi="Arial" w:cs="Arial"/>
          <w:sz w:val="20"/>
        </w:rPr>
        <w:t>to the Committee.</w:t>
      </w:r>
    </w:p>
    <w:p w14:paraId="4130A846" w14:textId="538D3C26" w:rsidR="00A4231C" w:rsidRDefault="00A4231C" w:rsidP="000F5758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</w:p>
    <w:p w14:paraId="56C58B84" w14:textId="77777777" w:rsidR="00A4231C" w:rsidRPr="00A4231C" w:rsidRDefault="00A4231C" w:rsidP="00A4231C">
      <w:pPr>
        <w:pStyle w:val="minsbody"/>
        <w:ind w:left="0"/>
        <w:rPr>
          <w:rFonts w:ascii="Arial" w:hAnsi="Arial" w:cs="Arial"/>
          <w:b/>
        </w:rPr>
      </w:pPr>
      <w:r w:rsidRPr="00A4231C">
        <w:rPr>
          <w:rFonts w:ascii="Arial" w:hAnsi="Arial" w:cs="Arial"/>
          <w:b/>
        </w:rPr>
        <w:t>NVQ in Geotechnical Installation</w:t>
      </w:r>
    </w:p>
    <w:p w14:paraId="669A9B9C" w14:textId="77777777" w:rsidR="00042F90" w:rsidRDefault="00A4231C" w:rsidP="00A4231C">
      <w:pPr>
        <w:pStyle w:val="minsbody"/>
        <w:ind w:left="0"/>
        <w:rPr>
          <w:rFonts w:ascii="Arial" w:hAnsi="Arial" w:cs="Arial"/>
        </w:rPr>
      </w:pPr>
      <w:r w:rsidRPr="00D570B9">
        <w:rPr>
          <w:rFonts w:ascii="Arial" w:hAnsi="Arial" w:cs="Arial"/>
        </w:rPr>
        <w:t xml:space="preserve">CITB shall convene a National Working Group to develop the </w:t>
      </w:r>
      <w:r w:rsidR="00D570B9" w:rsidRPr="00D570B9">
        <w:rPr>
          <w:rFonts w:ascii="Arial" w:hAnsi="Arial" w:cs="Arial"/>
        </w:rPr>
        <w:t>NVQ</w:t>
      </w:r>
      <w:r w:rsidRPr="00D570B9">
        <w:rPr>
          <w:rFonts w:ascii="Arial" w:hAnsi="Arial" w:cs="Arial"/>
        </w:rPr>
        <w:t xml:space="preserve"> which FPS members and </w:t>
      </w:r>
      <w:r w:rsidR="00D570B9" w:rsidRPr="00D570B9">
        <w:rPr>
          <w:rFonts w:ascii="Arial" w:hAnsi="Arial" w:cs="Arial"/>
        </w:rPr>
        <w:t>non-members</w:t>
      </w:r>
      <w:r w:rsidRPr="00D570B9">
        <w:rPr>
          <w:rFonts w:ascii="Arial" w:hAnsi="Arial" w:cs="Arial"/>
        </w:rPr>
        <w:t xml:space="preserve"> can join.</w:t>
      </w:r>
      <w:r w:rsidR="00D570B9">
        <w:rPr>
          <w:rFonts w:ascii="Arial" w:hAnsi="Arial" w:cs="Arial"/>
        </w:rPr>
        <w:t xml:space="preserve">  Bob Speakman and James Warren volunteered to participate as FPS representatives and Hamish Campbell of BAM Ritchies will Chair the group.</w:t>
      </w:r>
    </w:p>
    <w:p w14:paraId="352A850D" w14:textId="77777777" w:rsidR="00042F90" w:rsidRDefault="00042F90" w:rsidP="00A4231C">
      <w:pPr>
        <w:pStyle w:val="minsbody"/>
        <w:ind w:left="0"/>
        <w:rPr>
          <w:rFonts w:ascii="Arial" w:hAnsi="Arial" w:cs="Arial"/>
        </w:rPr>
      </w:pPr>
    </w:p>
    <w:p w14:paraId="4920F64F" w14:textId="77777777" w:rsidR="00042F90" w:rsidRDefault="00042F90" w:rsidP="00A4231C">
      <w:pPr>
        <w:pStyle w:val="minsbody"/>
        <w:ind w:left="0"/>
        <w:rPr>
          <w:rFonts w:ascii="Arial" w:hAnsi="Arial" w:cs="Arial"/>
          <w:b/>
        </w:rPr>
      </w:pPr>
      <w:r w:rsidRPr="00042F90">
        <w:rPr>
          <w:rFonts w:ascii="Arial" w:hAnsi="Arial" w:cs="Arial"/>
          <w:b/>
        </w:rPr>
        <w:t>Lifting Operations on Piling Sites</w:t>
      </w:r>
    </w:p>
    <w:p w14:paraId="02F73CFC" w14:textId="77777777" w:rsidR="0019577C" w:rsidRDefault="00042F90" w:rsidP="00A4231C">
      <w:pPr>
        <w:pStyle w:val="minsbody"/>
        <w:ind w:left="0"/>
        <w:rPr>
          <w:rFonts w:ascii="Arial" w:hAnsi="Arial" w:cs="Arial"/>
        </w:rPr>
      </w:pPr>
      <w:r w:rsidRPr="00042F90">
        <w:rPr>
          <w:rFonts w:ascii="Arial" w:hAnsi="Arial" w:cs="Arial"/>
        </w:rPr>
        <w:t>Bob Speakman will be reviewing the FPS guidance as BS7012 had introduced some new requirements.</w:t>
      </w:r>
      <w:r w:rsidR="004231A9">
        <w:rPr>
          <w:rFonts w:ascii="Arial" w:hAnsi="Arial" w:cs="Arial"/>
        </w:rPr>
        <w:t xml:space="preserve">  Two points noted for consideration were the impact of </w:t>
      </w:r>
      <w:r w:rsidR="0019577C">
        <w:rPr>
          <w:rFonts w:ascii="Arial" w:hAnsi="Arial" w:cs="Arial"/>
        </w:rPr>
        <w:t>medicals on crane operators, now required to be undertaken every 12 months; and the new tandem lifts which are considered to be complex.</w:t>
      </w:r>
    </w:p>
    <w:p w14:paraId="177765E0" w14:textId="77777777" w:rsidR="0019577C" w:rsidRDefault="0019577C" w:rsidP="00A4231C">
      <w:pPr>
        <w:pStyle w:val="minsbody"/>
        <w:ind w:left="0"/>
        <w:rPr>
          <w:rFonts w:ascii="Arial" w:hAnsi="Arial" w:cs="Arial"/>
        </w:rPr>
      </w:pPr>
    </w:p>
    <w:p w14:paraId="73863B9D" w14:textId="7ADF1275" w:rsidR="00A4231C" w:rsidRPr="003407F5" w:rsidRDefault="0019577C" w:rsidP="00A4231C">
      <w:pPr>
        <w:pStyle w:val="minsbody"/>
        <w:ind w:left="0"/>
        <w:rPr>
          <w:rFonts w:ascii="Arial" w:hAnsi="Arial" w:cs="Arial"/>
          <w:b/>
        </w:rPr>
      </w:pPr>
      <w:r w:rsidRPr="003407F5">
        <w:rPr>
          <w:rFonts w:ascii="Arial" w:hAnsi="Arial" w:cs="Arial"/>
          <w:b/>
        </w:rPr>
        <w:t>Toolbox Talks</w:t>
      </w:r>
    </w:p>
    <w:p w14:paraId="5AD41E9E" w14:textId="35CE5091" w:rsidR="0019577C" w:rsidRPr="00AF2B37" w:rsidRDefault="00A43917" w:rsidP="00A4231C">
      <w:pPr>
        <w:pStyle w:val="minsbody"/>
        <w:ind w:left="0"/>
        <w:rPr>
          <w:rFonts w:ascii="Arial" w:hAnsi="Arial" w:cs="Arial"/>
          <w:color w:val="7030A0"/>
        </w:rPr>
      </w:pPr>
      <w:r w:rsidRPr="003407F5">
        <w:rPr>
          <w:rFonts w:ascii="Arial" w:hAnsi="Arial" w:cs="Arial"/>
        </w:rPr>
        <w:t xml:space="preserve">On discussion </w:t>
      </w:r>
      <w:r w:rsidR="003407F5" w:rsidRPr="003407F5">
        <w:rPr>
          <w:rFonts w:ascii="Arial" w:hAnsi="Arial" w:cs="Arial"/>
        </w:rPr>
        <w:t>t</w:t>
      </w:r>
      <w:r w:rsidRPr="003407F5">
        <w:rPr>
          <w:rFonts w:ascii="Arial" w:hAnsi="Arial" w:cs="Arial"/>
        </w:rPr>
        <w:t xml:space="preserve">he group </w:t>
      </w:r>
      <w:r w:rsidR="003407F5" w:rsidRPr="003407F5">
        <w:rPr>
          <w:rFonts w:ascii="Arial" w:hAnsi="Arial" w:cs="Arial"/>
        </w:rPr>
        <w:t>agreed that visual messages connect more effectively with employees than written documents</w:t>
      </w:r>
      <w:r w:rsidR="00CC3438">
        <w:rPr>
          <w:rFonts w:ascii="Arial" w:hAnsi="Arial" w:cs="Arial"/>
        </w:rPr>
        <w:t>, and therefore members will produce TBT videos in advance of the next meeting.</w:t>
      </w:r>
    </w:p>
    <w:p w14:paraId="218056C3" w14:textId="77777777" w:rsidR="00A4231C" w:rsidRPr="00E244A9" w:rsidRDefault="00A4231C" w:rsidP="000F5758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</w:p>
    <w:p w14:paraId="522080CC" w14:textId="1D9257B3" w:rsidR="000766E6" w:rsidRDefault="00594E7F" w:rsidP="002A1B17">
      <w:pPr>
        <w:pStyle w:val="minsbody"/>
        <w:ind w:left="0"/>
        <w:rPr>
          <w:rFonts w:ascii="Arial" w:hAnsi="Arial" w:cs="Arial"/>
          <w:b/>
        </w:rPr>
      </w:pPr>
      <w:r w:rsidRPr="00924533">
        <w:rPr>
          <w:rFonts w:ascii="Arial" w:hAnsi="Arial" w:cs="Arial"/>
          <w:b/>
        </w:rPr>
        <w:t>SSTP Scheme Registration</w:t>
      </w:r>
    </w:p>
    <w:p w14:paraId="43E073EF" w14:textId="412BB53B" w:rsidR="00924533" w:rsidRDefault="00924533" w:rsidP="002A1B17">
      <w:pPr>
        <w:pStyle w:val="minsbody"/>
        <w:ind w:left="0"/>
        <w:rPr>
          <w:rFonts w:ascii="Arial" w:hAnsi="Arial" w:cs="Arial"/>
        </w:rPr>
      </w:pPr>
      <w:r w:rsidRPr="00924533">
        <w:rPr>
          <w:rFonts w:ascii="Arial" w:hAnsi="Arial" w:cs="Arial"/>
        </w:rPr>
        <w:t xml:space="preserve">The registration window has formally closed.  All </w:t>
      </w:r>
      <w:r w:rsidR="00042F90">
        <w:rPr>
          <w:rFonts w:ascii="Arial" w:hAnsi="Arial" w:cs="Arial"/>
        </w:rPr>
        <w:t>were</w:t>
      </w:r>
      <w:r w:rsidRPr="00924533">
        <w:rPr>
          <w:rFonts w:ascii="Arial" w:hAnsi="Arial" w:cs="Arial"/>
        </w:rPr>
        <w:t xml:space="preserve"> encouraged to use the scheme as FPS members qualify for a double grant.  Additional courses should be suggested, for example the Plant Group may wish to add a course on hydraulic pressure systems.</w:t>
      </w:r>
    </w:p>
    <w:p w14:paraId="2B315382" w14:textId="2F873C10" w:rsidR="00B26B43" w:rsidRDefault="00B26B43" w:rsidP="002A1B17">
      <w:pPr>
        <w:pStyle w:val="minsbody"/>
        <w:ind w:left="0"/>
        <w:rPr>
          <w:rFonts w:ascii="Arial" w:hAnsi="Arial" w:cs="Arial"/>
        </w:rPr>
      </w:pPr>
    </w:p>
    <w:p w14:paraId="41A3447D" w14:textId="37B61C2A" w:rsidR="00B26B43" w:rsidRDefault="00B26B43" w:rsidP="002A1B17">
      <w:pPr>
        <w:pStyle w:val="minsbody"/>
        <w:ind w:left="0"/>
        <w:rPr>
          <w:rFonts w:ascii="Arial" w:hAnsi="Arial" w:cs="Arial"/>
          <w:b/>
        </w:rPr>
      </w:pPr>
      <w:r w:rsidRPr="00A66288">
        <w:rPr>
          <w:rFonts w:ascii="Arial" w:hAnsi="Arial" w:cs="Arial"/>
          <w:b/>
        </w:rPr>
        <w:t>CPCS Piling Rig Attendant</w:t>
      </w:r>
    </w:p>
    <w:p w14:paraId="54C22B97" w14:textId="380F2B74" w:rsidR="00A66288" w:rsidRDefault="00A66288" w:rsidP="002A1B17">
      <w:pPr>
        <w:pStyle w:val="minsbody"/>
        <w:ind w:left="0"/>
        <w:rPr>
          <w:rFonts w:ascii="Arial" w:hAnsi="Arial" w:cs="Arial"/>
        </w:rPr>
      </w:pPr>
      <w:r w:rsidRPr="00A66288">
        <w:rPr>
          <w:rFonts w:ascii="Arial" w:hAnsi="Arial" w:cs="Arial"/>
        </w:rPr>
        <w:t>Grandfather rights have now ended; the next stage is CPCS card renewal where employees will undertake an NVQ assessment.</w:t>
      </w:r>
    </w:p>
    <w:p w14:paraId="2C406EC3" w14:textId="77777777" w:rsidR="001D01AC" w:rsidRDefault="001D01AC" w:rsidP="002A1B17">
      <w:pPr>
        <w:pStyle w:val="minsbody"/>
        <w:ind w:left="0"/>
        <w:rPr>
          <w:rFonts w:ascii="Arial" w:hAnsi="Arial" w:cs="Arial"/>
        </w:rPr>
      </w:pPr>
    </w:p>
    <w:p w14:paraId="3EE60C0D" w14:textId="4128ECAF" w:rsidR="001D01AC" w:rsidRDefault="001D01AC" w:rsidP="002A1B17">
      <w:pPr>
        <w:pStyle w:val="minsbody"/>
        <w:ind w:left="0"/>
        <w:rPr>
          <w:rFonts w:ascii="Arial" w:hAnsi="Arial" w:cs="Arial"/>
          <w:b/>
        </w:rPr>
      </w:pPr>
      <w:r w:rsidRPr="001D01AC">
        <w:rPr>
          <w:rFonts w:ascii="Arial" w:hAnsi="Arial" w:cs="Arial"/>
          <w:b/>
        </w:rPr>
        <w:t>Apprenticeship Scheme</w:t>
      </w:r>
      <w:r>
        <w:rPr>
          <w:rFonts w:ascii="Arial" w:hAnsi="Arial" w:cs="Arial"/>
          <w:b/>
        </w:rPr>
        <w:t xml:space="preserve"> (Including Trailblazer)</w:t>
      </w:r>
    </w:p>
    <w:p w14:paraId="687DAFAB" w14:textId="5287DD11" w:rsidR="001E53E9" w:rsidRPr="001E53E9" w:rsidRDefault="001E53E9" w:rsidP="002A1B17">
      <w:pPr>
        <w:pStyle w:val="minsbody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Covered elsewhere on Quarterly agenda</w:t>
      </w:r>
    </w:p>
    <w:p w14:paraId="375A3F9B" w14:textId="7BB075EE" w:rsidR="001E53E9" w:rsidRDefault="00B93C73" w:rsidP="002A1B17">
      <w:pPr>
        <w:pStyle w:val="minsbody"/>
        <w:ind w:left="0"/>
        <w:rPr>
          <w:rFonts w:ascii="Arial" w:hAnsi="Arial" w:cs="Arial"/>
        </w:rPr>
      </w:pPr>
      <w:r w:rsidRPr="00B93C73">
        <w:rPr>
          <w:rFonts w:ascii="Arial" w:hAnsi="Arial" w:cs="Arial"/>
        </w:rPr>
        <w:t xml:space="preserve">The Trailblazer </w:t>
      </w:r>
      <w:r w:rsidRPr="001E53E9">
        <w:rPr>
          <w:rFonts w:ascii="Arial" w:hAnsi="Arial" w:cs="Arial"/>
        </w:rPr>
        <w:t xml:space="preserve">standards </w:t>
      </w:r>
      <w:r w:rsidR="001E53E9" w:rsidRPr="001E53E9">
        <w:rPr>
          <w:rFonts w:ascii="Arial" w:hAnsi="Arial" w:cs="Arial"/>
        </w:rPr>
        <w:t xml:space="preserve">and </w:t>
      </w:r>
      <w:r w:rsidR="001E53E9">
        <w:rPr>
          <w:rFonts w:ascii="Arial" w:hAnsi="Arial" w:cs="Arial"/>
        </w:rPr>
        <w:t>E</w:t>
      </w:r>
      <w:r w:rsidR="001E53E9" w:rsidRPr="001E53E9">
        <w:rPr>
          <w:rFonts w:ascii="Arial" w:hAnsi="Arial" w:cs="Arial"/>
        </w:rPr>
        <w:t xml:space="preserve">nd </w:t>
      </w:r>
      <w:r w:rsidR="001E53E9">
        <w:rPr>
          <w:rFonts w:ascii="Arial" w:hAnsi="Arial" w:cs="Arial"/>
        </w:rPr>
        <w:t>P</w:t>
      </w:r>
      <w:r w:rsidR="001E53E9" w:rsidRPr="001E53E9">
        <w:rPr>
          <w:rFonts w:ascii="Arial" w:hAnsi="Arial" w:cs="Arial"/>
        </w:rPr>
        <w:t xml:space="preserve">oint </w:t>
      </w:r>
      <w:r w:rsidR="001E53E9">
        <w:rPr>
          <w:rFonts w:ascii="Arial" w:hAnsi="Arial" w:cs="Arial"/>
        </w:rPr>
        <w:t>A</w:t>
      </w:r>
      <w:r w:rsidR="001E53E9" w:rsidRPr="001E53E9">
        <w:rPr>
          <w:rFonts w:ascii="Arial" w:hAnsi="Arial" w:cs="Arial"/>
        </w:rPr>
        <w:t xml:space="preserve">ssessment </w:t>
      </w:r>
      <w:r w:rsidR="001E53E9">
        <w:rPr>
          <w:rFonts w:ascii="Arial" w:hAnsi="Arial" w:cs="Arial"/>
        </w:rPr>
        <w:t xml:space="preserve">has been approved by the government.  The workings of the EQA are still to be resolved; either the FPS manage this alone, or they coordinate with the CITB.  The National Training College of Construction </w:t>
      </w:r>
      <w:r w:rsidR="00CC3438">
        <w:rPr>
          <w:rFonts w:ascii="Arial" w:hAnsi="Arial" w:cs="Arial"/>
        </w:rPr>
        <w:t xml:space="preserve">has been contacted re. </w:t>
      </w:r>
      <w:r w:rsidR="001E53E9">
        <w:rPr>
          <w:rFonts w:ascii="Arial" w:hAnsi="Arial" w:cs="Arial"/>
        </w:rPr>
        <w:t>delivering the apprenticeship.  The scheme will be live in September 2017.  All members are asked to provide details of assessors who can carry out the End Point Assessment.</w:t>
      </w:r>
    </w:p>
    <w:p w14:paraId="773180D9" w14:textId="1C46F161" w:rsidR="001D01AC" w:rsidRPr="001E53E9" w:rsidRDefault="001E53E9" w:rsidP="002A1B17">
      <w:pPr>
        <w:pStyle w:val="minsbod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1484308" w14:textId="400D0B79" w:rsidR="001D01AC" w:rsidRDefault="00EA2438" w:rsidP="005E6F19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EA2438">
        <w:rPr>
          <w:rFonts w:ascii="Arial" w:hAnsi="Arial" w:cs="Arial"/>
          <w:b/>
          <w:sz w:val="20"/>
        </w:rPr>
        <w:t>Learning and Development Group</w:t>
      </w:r>
    </w:p>
    <w:p w14:paraId="4F7DF480" w14:textId="39CCE67D" w:rsidR="005E6F19" w:rsidRPr="00870C0E" w:rsidRDefault="005E6F19" w:rsidP="005E6F19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  <w:r w:rsidRPr="00870C0E">
        <w:rPr>
          <w:rFonts w:ascii="Arial" w:hAnsi="Arial" w:cs="Arial"/>
          <w:sz w:val="20"/>
        </w:rPr>
        <w:t xml:space="preserve">The intention is </w:t>
      </w:r>
      <w:r w:rsidR="00870C0E" w:rsidRPr="00870C0E">
        <w:rPr>
          <w:rFonts w:ascii="Arial" w:hAnsi="Arial" w:cs="Arial"/>
          <w:sz w:val="20"/>
        </w:rPr>
        <w:t xml:space="preserve">to convene a small group of training experts from </w:t>
      </w:r>
      <w:r w:rsidR="00870C0E">
        <w:rPr>
          <w:rFonts w:ascii="Arial" w:hAnsi="Arial" w:cs="Arial"/>
          <w:sz w:val="20"/>
        </w:rPr>
        <w:t xml:space="preserve">within </w:t>
      </w:r>
      <w:r w:rsidR="00870C0E" w:rsidRPr="00870C0E">
        <w:rPr>
          <w:rFonts w:ascii="Arial" w:hAnsi="Arial" w:cs="Arial"/>
          <w:sz w:val="20"/>
        </w:rPr>
        <w:t xml:space="preserve">the </w:t>
      </w:r>
      <w:r w:rsidR="00CC3438">
        <w:rPr>
          <w:rFonts w:ascii="Arial" w:hAnsi="Arial" w:cs="Arial"/>
          <w:sz w:val="20"/>
        </w:rPr>
        <w:t>FPS which</w:t>
      </w:r>
      <w:r w:rsidR="00870C0E">
        <w:rPr>
          <w:rFonts w:ascii="Arial" w:hAnsi="Arial" w:cs="Arial"/>
          <w:sz w:val="20"/>
        </w:rPr>
        <w:t xml:space="preserve"> will be headed-up by a Member </w:t>
      </w:r>
      <w:r w:rsidR="00870C0E" w:rsidRPr="00870C0E">
        <w:rPr>
          <w:rFonts w:ascii="Arial" w:hAnsi="Arial" w:cs="Arial"/>
          <w:sz w:val="20"/>
        </w:rPr>
        <w:t>Managing Director.</w:t>
      </w:r>
    </w:p>
    <w:p w14:paraId="7A10BAA8" w14:textId="77777777" w:rsidR="00594E7F" w:rsidRDefault="00594E7F" w:rsidP="0061373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cs="Arial"/>
          <w:b/>
        </w:rPr>
      </w:pPr>
    </w:p>
    <w:p w14:paraId="6ED5C021" w14:textId="77777777" w:rsidR="00594E7F" w:rsidRDefault="00594E7F" w:rsidP="0061373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cs="Arial"/>
          <w:b/>
        </w:rPr>
      </w:pPr>
    </w:p>
    <w:p w14:paraId="522080DA" w14:textId="77777777" w:rsidR="00B82E5F" w:rsidRDefault="00B82E5F" w:rsidP="0061373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cs="Arial"/>
          <w:b/>
        </w:rPr>
      </w:pPr>
    </w:p>
    <w:p w14:paraId="6B9D8262" w14:textId="7215C6BE" w:rsidR="006B7717" w:rsidRDefault="006B7717">
      <w:pPr>
        <w:widowControl/>
        <w:rPr>
          <w:rFonts w:cs="Arial"/>
          <w:b/>
        </w:rPr>
      </w:pPr>
      <w:r>
        <w:rPr>
          <w:rFonts w:cs="Arial"/>
          <w:b/>
        </w:rPr>
        <w:br w:type="page"/>
      </w:r>
    </w:p>
    <w:p w14:paraId="551778A4" w14:textId="77777777" w:rsidR="00BA01D4" w:rsidRDefault="00BA01D4" w:rsidP="00440E27">
      <w:pPr>
        <w:ind w:left="2880" w:firstLine="720"/>
        <w:rPr>
          <w:b/>
          <w:bCs/>
          <w:szCs w:val="24"/>
        </w:rPr>
      </w:pPr>
    </w:p>
    <w:p w14:paraId="350D5BD3" w14:textId="77777777" w:rsidR="00BA01D4" w:rsidRPr="00813381" w:rsidRDefault="00BA01D4" w:rsidP="00BA01D4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C211B0E" wp14:editId="4D17DA93">
            <wp:simplePos x="0" y="0"/>
            <wp:positionH relativeFrom="column">
              <wp:posOffset>505505</wp:posOffset>
            </wp:positionH>
            <wp:positionV relativeFrom="paragraph">
              <wp:posOffset>25879</wp:posOffset>
            </wp:positionV>
            <wp:extent cx="1606459" cy="803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 FPS logo(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59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 xml:space="preserve">  </w:t>
      </w:r>
    </w:p>
    <w:p w14:paraId="5C886E8A" w14:textId="77777777" w:rsidR="00BA01D4" w:rsidRPr="00764414" w:rsidRDefault="00BA01D4" w:rsidP="00BA01D4">
      <w:pPr>
        <w:rPr>
          <w:b/>
          <w:szCs w:val="24"/>
        </w:rPr>
      </w:pP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764414">
        <w:rPr>
          <w:b/>
          <w:szCs w:val="24"/>
        </w:rPr>
        <w:t>FEDERATION OF PILING SPECIALISTS</w:t>
      </w:r>
    </w:p>
    <w:p w14:paraId="79059502" w14:textId="77777777" w:rsidR="00BA01D4" w:rsidRDefault="00BA01D4" w:rsidP="00BA01D4">
      <w:pPr>
        <w:ind w:left="2880" w:firstLine="720"/>
        <w:rPr>
          <w:b/>
          <w:szCs w:val="24"/>
        </w:rPr>
      </w:pPr>
      <w:r>
        <w:rPr>
          <w:b/>
          <w:szCs w:val="24"/>
        </w:rPr>
        <w:t>A</w:t>
      </w:r>
      <w:r w:rsidRPr="00764414">
        <w:rPr>
          <w:b/>
          <w:szCs w:val="24"/>
        </w:rPr>
        <w:t xml:space="preserve">CCIDENT INCIDENT RATES </w:t>
      </w:r>
    </w:p>
    <w:p w14:paraId="66327366" w14:textId="77777777" w:rsidR="00BA01D4" w:rsidRPr="00764414" w:rsidRDefault="00BA01D4" w:rsidP="00BA01D4">
      <w:pPr>
        <w:ind w:left="2880" w:firstLine="720"/>
        <w:rPr>
          <w:b/>
          <w:szCs w:val="24"/>
        </w:rPr>
      </w:pPr>
      <w:r>
        <w:rPr>
          <w:b/>
          <w:bCs/>
          <w:szCs w:val="24"/>
        </w:rPr>
        <w:t>FOR THE QUARTER ENDED 31.12.2016</w:t>
      </w:r>
    </w:p>
    <w:p w14:paraId="3881EBB1" w14:textId="77777777" w:rsidR="00BA01D4" w:rsidRDefault="00BA01D4" w:rsidP="00BA01D4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cs="Arial"/>
          <w:b/>
        </w:rPr>
      </w:pP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13381">
        <w:rPr>
          <w:rFonts w:cs="Arial"/>
          <w:b/>
        </w:rPr>
        <w:tab/>
      </w:r>
      <w:r w:rsidRPr="00813381">
        <w:rPr>
          <w:rFonts w:cs="Arial"/>
          <w:b/>
        </w:rPr>
        <w:tab/>
      </w:r>
    </w:p>
    <w:tbl>
      <w:tblPr>
        <w:tblpPr w:leftFromText="180" w:rightFromText="180" w:vertAnchor="text" w:horzAnchor="margin" w:tblpY="18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1214"/>
        <w:gridCol w:w="1214"/>
        <w:gridCol w:w="1214"/>
        <w:gridCol w:w="1214"/>
        <w:gridCol w:w="1214"/>
      </w:tblGrid>
      <w:tr w:rsidR="00BA01D4" w:rsidRPr="00EA4F91" w14:paraId="3390792C" w14:textId="77777777" w:rsidTr="00BD4120">
        <w:trPr>
          <w:trHeight w:val="978"/>
        </w:trPr>
        <w:tc>
          <w:tcPr>
            <w:tcW w:w="3385" w:type="dxa"/>
            <w:tcBorders>
              <w:top w:val="double" w:sz="2" w:space="0" w:color="000000" w:themeColor="text1"/>
              <w:left w:val="double" w:sz="2" w:space="0" w:color="000000" w:themeColor="text1"/>
            </w:tcBorders>
            <w:shd w:val="clear" w:color="auto" w:fill="auto"/>
            <w:vAlign w:val="center"/>
          </w:tcPr>
          <w:p w14:paraId="6B3BC4C2" w14:textId="77777777" w:rsidR="00BA01D4" w:rsidRPr="00EA4F91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 w:rsidRPr="00EA4F91">
              <w:rPr>
                <w:rFonts w:cs="Arial"/>
                <w:b/>
                <w:sz w:val="20"/>
              </w:rPr>
              <w:t>Accidents</w:t>
            </w:r>
          </w:p>
          <w:p w14:paraId="6EF8300C" w14:textId="77777777" w:rsidR="00BA01D4" w:rsidRPr="00EA4F91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 w:rsidRPr="00EA4F91">
              <w:rPr>
                <w:rFonts w:cs="Arial"/>
                <w:b/>
                <w:sz w:val="20"/>
              </w:rPr>
              <w:t>(per thousand at risk)</w:t>
            </w: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42583A04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</w:p>
          <w:p w14:paraId="4DB67675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Qtr Ended 31.12.16</w:t>
            </w: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6BEB3986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</w:p>
          <w:p w14:paraId="3A0AAD69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Qtr Ended 30.09.16</w:t>
            </w: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46AB65FE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</w:p>
          <w:p w14:paraId="38749ABD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Qtr Ended 30.06.16</w:t>
            </w: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6C6119DA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</w:p>
          <w:p w14:paraId="6429AE30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Qtr Ended</w:t>
            </w:r>
          </w:p>
          <w:p w14:paraId="2E0C5A27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31.03.16</w:t>
            </w: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2AEB6788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</w:p>
          <w:p w14:paraId="23EF8C52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Qtr Ended</w:t>
            </w:r>
          </w:p>
          <w:p w14:paraId="37E6FD4E" w14:textId="77777777" w:rsidR="00BA01D4" w:rsidRDefault="00BA01D4" w:rsidP="00BD412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31.12.15</w:t>
            </w:r>
          </w:p>
        </w:tc>
      </w:tr>
      <w:tr w:rsidR="00BA01D4" w:rsidRPr="00EA4F91" w14:paraId="68BA8CF1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8854CAC" w14:textId="77777777" w:rsidR="00BA01D4" w:rsidRPr="00EA4F91" w:rsidRDefault="00BA01D4" w:rsidP="00BD4120">
            <w:pPr>
              <w:rPr>
                <w:rFonts w:cs="Arial"/>
                <w:caps/>
                <w:sz w:val="20"/>
              </w:rPr>
            </w:pPr>
            <w:r w:rsidRPr="00EA4F91">
              <w:rPr>
                <w:rFonts w:cs="Arial"/>
                <w:sz w:val="20"/>
              </w:rPr>
              <w:t>Quarterly Incidence Rate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3CDB4B76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5.08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3EAB3B3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1DFCBEF5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4.09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04368A2F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3.87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3B5FE3FF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3.19</w:t>
            </w:r>
          </w:p>
        </w:tc>
      </w:tr>
      <w:tr w:rsidR="00BA01D4" w:rsidRPr="00EA4F91" w14:paraId="2F843FCD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57BDFB8D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  <w:r w:rsidRPr="00EA4F91">
              <w:rPr>
                <w:rFonts w:cs="Arial"/>
                <w:sz w:val="20"/>
              </w:rPr>
              <w:t xml:space="preserve">Annual Incidence Rate 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2E682FAF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18.10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6DFA0FC8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15.89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2D3C693D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15.68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19E0D2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14.19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276A2E7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12.56</w:t>
            </w:r>
          </w:p>
        </w:tc>
      </w:tr>
      <w:tr w:rsidR="00BA01D4" w:rsidRPr="00EA4F91" w14:paraId="0108FCE3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907AE4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C77619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0A8981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49ED55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22BD0D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BBA07E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44404599" w14:textId="77777777" w:rsidTr="00BD4120">
        <w:trPr>
          <w:trHeight w:val="61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0DA2E49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Quarterly Incidence Rate – Specified</w:t>
            </w:r>
            <w:r w:rsidRPr="00EA4F91">
              <w:rPr>
                <w:rFonts w:cs="Arial"/>
                <w:sz w:val="20"/>
              </w:rPr>
              <w:t xml:space="preserve"> Injuries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2E8B99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1.52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AE5328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1.66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B918ED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0.24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FDE515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0.86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4A3E2F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0.21</w:t>
            </w:r>
          </w:p>
        </w:tc>
      </w:tr>
      <w:tr w:rsidR="00BA01D4" w:rsidRPr="00EA4F91" w14:paraId="45599C44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70BAE515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Annual Incidence Rate – Specified </w:t>
            </w:r>
            <w:r w:rsidRPr="00EA4F91">
              <w:rPr>
                <w:rFonts w:cs="Arial"/>
                <w:sz w:val="20"/>
              </w:rPr>
              <w:t>Injuries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4CF3430D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4.16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2B601D45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2.80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214FA7DA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2.18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7E70A2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2.30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457C1C61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1.85</w:t>
            </w:r>
          </w:p>
        </w:tc>
      </w:tr>
      <w:tr w:rsidR="00BA01D4" w:rsidRPr="00EA4F91" w14:paraId="0636F897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CCAD2E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1C7455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A7CAAD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173AF9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3E1A0D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7A5C63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74428D71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5EB7C4B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  <w:r w:rsidRPr="00EA4F91">
              <w:rPr>
                <w:rFonts w:cs="Arial"/>
                <w:sz w:val="20"/>
              </w:rPr>
              <w:t>Quarterly I</w:t>
            </w:r>
            <w:r>
              <w:rPr>
                <w:rFonts w:cs="Arial"/>
                <w:sz w:val="20"/>
              </w:rPr>
              <w:t>R – all RIDDOR reportable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0C0F01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2.03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A87754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3.61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F67C73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124B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1.72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B956C5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1.49</w:t>
            </w:r>
          </w:p>
        </w:tc>
      </w:tr>
      <w:tr w:rsidR="00BA01D4" w:rsidRPr="00EA4F91" w14:paraId="2255913A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38392C00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AIR – all RIDDOR reportable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459D0E6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5.08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4AFB351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5.55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637EE0E6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4.33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1586B36B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3.87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6B9DDDDE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4.26</w:t>
            </w:r>
          </w:p>
        </w:tc>
      </w:tr>
      <w:tr w:rsidR="00BA01D4" w:rsidRPr="00EA4F91" w14:paraId="1DC8CC1C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B1100C" w14:textId="77777777" w:rsidR="00BA01D4" w:rsidRPr="00EA4F91" w:rsidRDefault="00BA01D4" w:rsidP="00BD4120">
            <w:pPr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C17C1D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C369FC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C5AF5A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E5027B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9D3361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41295BCE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B4B06AB" w14:textId="77777777" w:rsidR="00BA01D4" w:rsidRPr="00EA4F91" w:rsidRDefault="00BA01D4" w:rsidP="00BD4120">
            <w:pPr>
              <w:rPr>
                <w:b/>
                <w:sz w:val="20"/>
              </w:rPr>
            </w:pPr>
            <w:r w:rsidRPr="00EA4F91">
              <w:rPr>
                <w:b/>
                <w:sz w:val="20"/>
              </w:rPr>
              <w:t>Agency / Subcontract / Self Employed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14:paraId="484BA65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14:paraId="19381CE3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8F16E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12CEF3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99E66B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2F0920CB" w14:textId="77777777" w:rsidTr="00BD4120">
        <w:trPr>
          <w:trHeight w:val="425"/>
        </w:trPr>
        <w:tc>
          <w:tcPr>
            <w:tcW w:w="3385" w:type="dxa"/>
            <w:tcBorders>
              <w:top w:val="single" w:sz="4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AB3CBDE" w14:textId="77777777" w:rsidR="00BA01D4" w:rsidRPr="00EA4F91" w:rsidRDefault="00BA01D4" w:rsidP="00BD4120">
            <w:pPr>
              <w:rPr>
                <w:sz w:val="20"/>
              </w:rPr>
            </w:pPr>
            <w:r w:rsidRPr="00EA4F91">
              <w:rPr>
                <w:sz w:val="20"/>
              </w:rPr>
              <w:t>Non-employees (No. of accidents)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10248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13695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7D555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00A9A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7EED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BA01D4" w:rsidRPr="00EA4F91" w14:paraId="1F34D153" w14:textId="77777777" w:rsidTr="00BD4120">
        <w:trPr>
          <w:trHeight w:val="425"/>
        </w:trPr>
        <w:tc>
          <w:tcPr>
            <w:tcW w:w="3385" w:type="dxa"/>
            <w:tcBorders>
              <w:top w:val="single" w:sz="4" w:space="0" w:color="auto"/>
              <w:left w:val="double" w:sz="2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BC54B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C94E7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946C6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CE024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F802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30432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2F122E08" w14:textId="77777777" w:rsidTr="00BD4120">
        <w:trPr>
          <w:trHeight w:val="425"/>
        </w:trPr>
        <w:tc>
          <w:tcPr>
            <w:tcW w:w="3385" w:type="dxa"/>
            <w:tcBorders>
              <w:top w:val="single" w:sz="4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484F2ADA" w14:textId="77777777" w:rsidR="00BA01D4" w:rsidRPr="00EA4F91" w:rsidRDefault="00BA01D4" w:rsidP="00BD4120">
            <w:pPr>
              <w:rPr>
                <w:sz w:val="20"/>
              </w:rPr>
            </w:pPr>
            <w:r>
              <w:rPr>
                <w:sz w:val="20"/>
              </w:rPr>
              <w:t>Dangerous Occurrences (non-</w:t>
            </w:r>
            <w:r w:rsidRPr="00EA4F91">
              <w:rPr>
                <w:sz w:val="20"/>
              </w:rPr>
              <w:t>injury)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2BD4E6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33E04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BEFDB6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181C4B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20F5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BA01D4" w:rsidRPr="00EA4F91" w14:paraId="293DA8DA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7CA4B2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C73EEB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C599AE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A5A006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F8CABE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869638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41C6D81A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D838A1D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  <w:r w:rsidRPr="00EA4F91">
              <w:rPr>
                <w:rFonts w:cs="Arial"/>
                <w:sz w:val="20"/>
              </w:rPr>
              <w:t>Number of Members Making Returns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5648FB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3ACC34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B8CCDD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9842A8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41F0FD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</w:tr>
      <w:tr w:rsidR="00BA01D4" w:rsidRPr="00EA4F91" w14:paraId="12E22B89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045D2E26" w14:textId="77777777" w:rsidR="00BA01D4" w:rsidRPr="00EA4F91" w:rsidRDefault="00BA01D4" w:rsidP="00BD4120">
            <w:pPr>
              <w:rPr>
                <w:rFonts w:cs="Arial"/>
                <w:sz w:val="20"/>
              </w:rPr>
            </w:pPr>
            <w:r w:rsidRPr="00EA4F91">
              <w:rPr>
                <w:rFonts w:cs="Arial"/>
                <w:sz w:val="20"/>
              </w:rPr>
              <w:t>Number of Members with No Accidents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5C00CF9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33BE6388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29FD1F4A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6EA62D47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7823DCFF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</w:tr>
      <w:tr w:rsidR="00BA01D4" w:rsidRPr="00EA4F91" w14:paraId="07EF5D27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doub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9ACD4DB" w14:textId="77777777" w:rsidR="00BA01D4" w:rsidRPr="00EA4F91" w:rsidRDefault="00BA01D4" w:rsidP="00BD4120">
            <w:pPr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</w:tcPr>
          <w:p w14:paraId="466E7DDF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</w:tcPr>
          <w:p w14:paraId="17DFA337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7985283A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04654291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3BB77424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64E2CC9A" w14:textId="77777777" w:rsidTr="00BD4120">
        <w:trPr>
          <w:trHeight w:val="425"/>
        </w:trPr>
        <w:tc>
          <w:tcPr>
            <w:tcW w:w="3385" w:type="dxa"/>
            <w:tcBorders>
              <w:top w:val="double" w:sz="2" w:space="0" w:color="000000" w:themeColor="text1"/>
              <w:left w:val="double" w:sz="2" w:space="0" w:color="000000" w:themeColor="text1"/>
            </w:tcBorders>
            <w:shd w:val="clear" w:color="auto" w:fill="auto"/>
            <w:vAlign w:val="center"/>
          </w:tcPr>
          <w:p w14:paraId="04D54D01" w14:textId="77777777" w:rsidR="00BA01D4" w:rsidRPr="00EA4F91" w:rsidRDefault="00BA01D4" w:rsidP="00BD41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 w:rsidRPr="00EA4F91">
              <w:rPr>
                <w:b/>
                <w:sz w:val="20"/>
              </w:rPr>
              <w:t xml:space="preserve"> Strikes</w:t>
            </w:r>
          </w:p>
        </w:tc>
        <w:tc>
          <w:tcPr>
            <w:tcW w:w="1214" w:type="dxa"/>
            <w:tcBorders>
              <w:top w:val="double" w:sz="2" w:space="0" w:color="000000" w:themeColor="text1"/>
            </w:tcBorders>
          </w:tcPr>
          <w:p w14:paraId="05F7DCCF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double" w:sz="2" w:space="0" w:color="000000" w:themeColor="text1"/>
            </w:tcBorders>
          </w:tcPr>
          <w:p w14:paraId="10DEA295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480FD624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2296FCC5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double" w:sz="2" w:space="0" w:color="000000" w:themeColor="text1"/>
            </w:tcBorders>
            <w:vAlign w:val="center"/>
          </w:tcPr>
          <w:p w14:paraId="156BD54E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</w:p>
        </w:tc>
      </w:tr>
      <w:tr w:rsidR="00BA01D4" w:rsidRPr="00EA4F91" w14:paraId="584879B6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</w:tcBorders>
            <w:shd w:val="clear" w:color="auto" w:fill="auto"/>
            <w:vAlign w:val="center"/>
          </w:tcPr>
          <w:p w14:paraId="6BD023C8" w14:textId="77777777" w:rsidR="00BA01D4" w:rsidRPr="00EA4F91" w:rsidRDefault="00BA01D4" w:rsidP="00BD4120">
            <w:pPr>
              <w:rPr>
                <w:sz w:val="20"/>
              </w:rPr>
            </w:pPr>
            <w:r w:rsidRPr="00EA4F91">
              <w:rPr>
                <w:sz w:val="20"/>
              </w:rPr>
              <w:t>Electricity</w:t>
            </w:r>
          </w:p>
        </w:tc>
        <w:tc>
          <w:tcPr>
            <w:tcW w:w="1214" w:type="dxa"/>
            <w:vAlign w:val="center"/>
          </w:tcPr>
          <w:p w14:paraId="2AF9A8D1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14" w:type="dxa"/>
            <w:vAlign w:val="center"/>
          </w:tcPr>
          <w:p w14:paraId="46CE28D3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14" w:type="dxa"/>
            <w:vAlign w:val="center"/>
          </w:tcPr>
          <w:p w14:paraId="6E010AC1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214" w:type="dxa"/>
            <w:vAlign w:val="center"/>
          </w:tcPr>
          <w:p w14:paraId="390681BA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14" w:type="dxa"/>
            <w:vAlign w:val="center"/>
          </w:tcPr>
          <w:p w14:paraId="49ABA0E6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BA01D4" w:rsidRPr="00EA4F91" w14:paraId="5E2BA027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</w:tcBorders>
            <w:shd w:val="clear" w:color="auto" w:fill="auto"/>
            <w:vAlign w:val="center"/>
          </w:tcPr>
          <w:p w14:paraId="6F721301" w14:textId="77777777" w:rsidR="00BA01D4" w:rsidRPr="00EA4F91" w:rsidRDefault="00BA01D4" w:rsidP="00BD4120">
            <w:pPr>
              <w:rPr>
                <w:sz w:val="20"/>
              </w:rPr>
            </w:pPr>
            <w:r w:rsidRPr="00EA4F91">
              <w:rPr>
                <w:sz w:val="20"/>
              </w:rPr>
              <w:t>Gas</w:t>
            </w:r>
          </w:p>
        </w:tc>
        <w:tc>
          <w:tcPr>
            <w:tcW w:w="1214" w:type="dxa"/>
            <w:vAlign w:val="center"/>
          </w:tcPr>
          <w:p w14:paraId="0650100B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14" w:type="dxa"/>
            <w:vAlign w:val="center"/>
          </w:tcPr>
          <w:p w14:paraId="48842114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0FF5E71E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 w14:paraId="67B01E1F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14" w:type="dxa"/>
            <w:vAlign w:val="center"/>
          </w:tcPr>
          <w:p w14:paraId="6A807C40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BA01D4" w:rsidRPr="00EA4F91" w14:paraId="7243A94D" w14:textId="77777777" w:rsidTr="00BD4120">
        <w:trPr>
          <w:trHeight w:val="425"/>
        </w:trPr>
        <w:tc>
          <w:tcPr>
            <w:tcW w:w="3385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4AABF081" w14:textId="77777777" w:rsidR="00BA01D4" w:rsidRPr="00EA4F91" w:rsidRDefault="00BA01D4" w:rsidP="00BD4120">
            <w:pPr>
              <w:rPr>
                <w:sz w:val="20"/>
              </w:rPr>
            </w:pPr>
            <w:r w:rsidRPr="00EA4F91">
              <w:rPr>
                <w:sz w:val="20"/>
              </w:rPr>
              <w:t>Water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413653C3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5C3843F1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7593682A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330FF783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69737C8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BA01D4" w:rsidRPr="00EA4F91" w14:paraId="663D3ADF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28C2F146" w14:textId="77777777" w:rsidR="00BA01D4" w:rsidRPr="00EA4F91" w:rsidRDefault="00BA01D4" w:rsidP="00BD4120">
            <w:pPr>
              <w:ind w:right="432"/>
              <w:rPr>
                <w:sz w:val="20"/>
              </w:rPr>
            </w:pPr>
            <w:r w:rsidRPr="00EA4F91">
              <w:rPr>
                <w:sz w:val="20"/>
              </w:rPr>
              <w:t>Other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EDF79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00504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D3F0B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88BF8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E966A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BA01D4" w:rsidRPr="00EA4F91" w14:paraId="1CE5282C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56085919" w14:textId="77777777" w:rsidR="00BA01D4" w:rsidRPr="00EA4F91" w:rsidRDefault="00BA01D4" w:rsidP="00BD4120">
            <w:pPr>
              <w:rPr>
                <w:b/>
                <w:sz w:val="20"/>
              </w:rPr>
            </w:pPr>
            <w:r w:rsidRPr="00EA4F91">
              <w:rPr>
                <w:b/>
                <w:sz w:val="20"/>
              </w:rPr>
              <w:t>Total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EF6FD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618C3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0A3F1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E29BF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44C06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BA01D4" w:rsidRPr="00EA4F91" w14:paraId="09BB291E" w14:textId="77777777" w:rsidTr="00BD4120">
        <w:trPr>
          <w:trHeight w:val="425"/>
        </w:trPr>
        <w:tc>
          <w:tcPr>
            <w:tcW w:w="3385" w:type="dxa"/>
            <w:tcBorders>
              <w:top w:val="single" w:sz="12" w:space="0" w:color="auto"/>
              <w:left w:val="double" w:sz="2" w:space="0" w:color="000000" w:themeColor="text1"/>
              <w:bottom w:val="double" w:sz="2" w:space="0" w:color="000000" w:themeColor="text1"/>
            </w:tcBorders>
            <w:shd w:val="clear" w:color="auto" w:fill="auto"/>
            <w:vAlign w:val="center"/>
          </w:tcPr>
          <w:p w14:paraId="1E42D6FC" w14:textId="77777777" w:rsidR="00BA01D4" w:rsidRPr="00EA4F91" w:rsidRDefault="00BA01D4" w:rsidP="00BD4120">
            <w:pPr>
              <w:rPr>
                <w:sz w:val="20"/>
              </w:rPr>
            </w:pPr>
            <w:r w:rsidRPr="00EA4F91">
              <w:rPr>
                <w:sz w:val="20"/>
              </w:rPr>
              <w:t>No. with Permit to Work in place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053E4CF7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421B5F88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2F2CC4A7" w14:textId="77777777" w:rsidR="00BA01D4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63810D89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68F13CEC" w14:textId="77777777" w:rsidR="00BA01D4" w:rsidRPr="00C25E43" w:rsidRDefault="00BA01D4" w:rsidP="00BD41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</w:tbl>
    <w:p w14:paraId="6C250F48" w14:textId="77777777" w:rsidR="00BA01D4" w:rsidRPr="00EF0C0E" w:rsidRDefault="00BA01D4" w:rsidP="00BA01D4">
      <w:p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292839" wp14:editId="70F8DEFB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1230630" cy="1377315"/>
            <wp:effectExtent l="0" t="0" r="7620" b="0"/>
            <wp:wrapNone/>
            <wp:docPr id="3" name="Picture 3" descr="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FEB1B" w14:textId="07ACA1EA" w:rsidR="00440E27" w:rsidRDefault="00440E27" w:rsidP="00BA01D4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1058BD" wp14:editId="11292B52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1230630" cy="1377315"/>
            <wp:effectExtent l="0" t="0" r="7620" b="0"/>
            <wp:wrapNone/>
            <wp:docPr id="12" name="Picture 12" descr="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E27" w:rsidSect="006B7717">
      <w:endnotePr>
        <w:numFmt w:val="decimal"/>
      </w:endnotePr>
      <w:pgSz w:w="11952" w:h="16848" w:code="9"/>
      <w:pgMar w:top="1440" w:right="1080" w:bottom="993" w:left="1080" w:header="482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FF34" w14:textId="77777777" w:rsidR="00C8263C" w:rsidRDefault="00C8263C" w:rsidP="0005261D">
      <w:r>
        <w:separator/>
      </w:r>
    </w:p>
  </w:endnote>
  <w:endnote w:type="continuationSeparator" w:id="0">
    <w:p w14:paraId="3A66A05F" w14:textId="77777777" w:rsidR="00C8263C" w:rsidRDefault="00C8263C" w:rsidP="000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C7546" w14:textId="77777777" w:rsidR="00C8263C" w:rsidRDefault="00C8263C" w:rsidP="0005261D">
      <w:r>
        <w:separator/>
      </w:r>
    </w:p>
  </w:footnote>
  <w:footnote w:type="continuationSeparator" w:id="0">
    <w:p w14:paraId="6C958070" w14:textId="77777777" w:rsidR="00C8263C" w:rsidRDefault="00C8263C" w:rsidP="0005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76E"/>
    <w:multiLevelType w:val="hybridMultilevel"/>
    <w:tmpl w:val="5E045942"/>
    <w:lvl w:ilvl="0" w:tplc="F50C924E">
      <w:start w:val="1"/>
      <w:numFmt w:val="lowerRoman"/>
      <w:lvlText w:val="%1)"/>
      <w:lvlJc w:val="left"/>
      <w:pPr>
        <w:ind w:left="255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19" w:hanging="360"/>
      </w:pPr>
    </w:lvl>
    <w:lvl w:ilvl="2" w:tplc="0809001B" w:tentative="1">
      <w:start w:val="1"/>
      <w:numFmt w:val="lowerRoman"/>
      <w:lvlText w:val="%3."/>
      <w:lvlJc w:val="right"/>
      <w:pPr>
        <w:ind w:left="3639" w:hanging="180"/>
      </w:pPr>
    </w:lvl>
    <w:lvl w:ilvl="3" w:tplc="0809000F" w:tentative="1">
      <w:start w:val="1"/>
      <w:numFmt w:val="decimal"/>
      <w:lvlText w:val="%4."/>
      <w:lvlJc w:val="left"/>
      <w:pPr>
        <w:ind w:left="4359" w:hanging="360"/>
      </w:pPr>
    </w:lvl>
    <w:lvl w:ilvl="4" w:tplc="08090019" w:tentative="1">
      <w:start w:val="1"/>
      <w:numFmt w:val="lowerLetter"/>
      <w:lvlText w:val="%5."/>
      <w:lvlJc w:val="left"/>
      <w:pPr>
        <w:ind w:left="5079" w:hanging="360"/>
      </w:pPr>
    </w:lvl>
    <w:lvl w:ilvl="5" w:tplc="0809001B" w:tentative="1">
      <w:start w:val="1"/>
      <w:numFmt w:val="lowerRoman"/>
      <w:lvlText w:val="%6."/>
      <w:lvlJc w:val="right"/>
      <w:pPr>
        <w:ind w:left="5799" w:hanging="180"/>
      </w:pPr>
    </w:lvl>
    <w:lvl w:ilvl="6" w:tplc="0809000F" w:tentative="1">
      <w:start w:val="1"/>
      <w:numFmt w:val="decimal"/>
      <w:lvlText w:val="%7."/>
      <w:lvlJc w:val="left"/>
      <w:pPr>
        <w:ind w:left="6519" w:hanging="360"/>
      </w:pPr>
    </w:lvl>
    <w:lvl w:ilvl="7" w:tplc="08090019" w:tentative="1">
      <w:start w:val="1"/>
      <w:numFmt w:val="lowerLetter"/>
      <w:lvlText w:val="%8."/>
      <w:lvlJc w:val="left"/>
      <w:pPr>
        <w:ind w:left="7239" w:hanging="360"/>
      </w:pPr>
    </w:lvl>
    <w:lvl w:ilvl="8" w:tplc="08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>
    <w:nsid w:val="0BF85E07"/>
    <w:multiLevelType w:val="hybridMultilevel"/>
    <w:tmpl w:val="F9B2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0E7"/>
    <w:multiLevelType w:val="hybridMultilevel"/>
    <w:tmpl w:val="0A20D9A6"/>
    <w:lvl w:ilvl="0" w:tplc="C40210E8">
      <w:start w:val="1"/>
      <w:numFmt w:val="lowerLetter"/>
      <w:lvlText w:val="%1)"/>
      <w:lvlJc w:val="left"/>
      <w:pPr>
        <w:ind w:left="1428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D26A27"/>
    <w:multiLevelType w:val="hybridMultilevel"/>
    <w:tmpl w:val="51A2429A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>
    <w:nsid w:val="15A933EB"/>
    <w:multiLevelType w:val="hybridMultilevel"/>
    <w:tmpl w:val="D5327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1E9C"/>
    <w:multiLevelType w:val="hybridMultilevel"/>
    <w:tmpl w:val="E006EC7E"/>
    <w:lvl w:ilvl="0" w:tplc="3020A1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323B12"/>
    <w:multiLevelType w:val="hybridMultilevel"/>
    <w:tmpl w:val="6CD6EA0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4B91532"/>
    <w:multiLevelType w:val="hybridMultilevel"/>
    <w:tmpl w:val="AA08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242D"/>
    <w:multiLevelType w:val="hybridMultilevel"/>
    <w:tmpl w:val="F0E2917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8AF6E36"/>
    <w:multiLevelType w:val="hybridMultilevel"/>
    <w:tmpl w:val="F7E6BF68"/>
    <w:lvl w:ilvl="0" w:tplc="94945902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B2612FE"/>
    <w:multiLevelType w:val="hybridMultilevel"/>
    <w:tmpl w:val="8E2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5518E"/>
    <w:multiLevelType w:val="hybridMultilevel"/>
    <w:tmpl w:val="0AEC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1041E"/>
    <w:multiLevelType w:val="hybridMultilevel"/>
    <w:tmpl w:val="4E3CEA4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3D116840"/>
    <w:multiLevelType w:val="hybridMultilevel"/>
    <w:tmpl w:val="3480698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>
    <w:nsid w:val="41A9235C"/>
    <w:multiLevelType w:val="hybridMultilevel"/>
    <w:tmpl w:val="52920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65932"/>
    <w:multiLevelType w:val="hybridMultilevel"/>
    <w:tmpl w:val="1D9E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7627D"/>
    <w:multiLevelType w:val="hybridMultilevel"/>
    <w:tmpl w:val="20C0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92557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785123"/>
    <w:multiLevelType w:val="hybridMultilevel"/>
    <w:tmpl w:val="D5F6EF1E"/>
    <w:lvl w:ilvl="0" w:tplc="F6A607B4">
      <w:start w:val="1"/>
      <w:numFmt w:val="bullet"/>
      <w:lvlText w:val=""/>
      <w:lvlJc w:val="left"/>
      <w:pPr>
        <w:tabs>
          <w:tab w:val="num" w:pos="567"/>
        </w:tabs>
        <w:ind w:left="12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00378"/>
    <w:multiLevelType w:val="hybridMultilevel"/>
    <w:tmpl w:val="7B80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04445"/>
    <w:multiLevelType w:val="hybridMultilevel"/>
    <w:tmpl w:val="950C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D430B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5C3922"/>
    <w:multiLevelType w:val="hybridMultilevel"/>
    <w:tmpl w:val="188E6D7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5757ACF"/>
    <w:multiLevelType w:val="hybridMultilevel"/>
    <w:tmpl w:val="6F568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62B4363"/>
    <w:multiLevelType w:val="hybridMultilevel"/>
    <w:tmpl w:val="D62E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C1405"/>
    <w:multiLevelType w:val="hybridMultilevel"/>
    <w:tmpl w:val="86EC8822"/>
    <w:lvl w:ilvl="0" w:tplc="0F42C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E2668"/>
    <w:multiLevelType w:val="hybridMultilevel"/>
    <w:tmpl w:val="D458E620"/>
    <w:lvl w:ilvl="0" w:tplc="25BE6C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70CD3587"/>
    <w:multiLevelType w:val="hybridMultilevel"/>
    <w:tmpl w:val="8418F9A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48F6453"/>
    <w:multiLevelType w:val="hybridMultilevel"/>
    <w:tmpl w:val="2DAC9F8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75E11D37"/>
    <w:multiLevelType w:val="hybridMultilevel"/>
    <w:tmpl w:val="E3E08A54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0">
    <w:nsid w:val="78D12971"/>
    <w:multiLevelType w:val="hybridMultilevel"/>
    <w:tmpl w:val="2F924FD2"/>
    <w:lvl w:ilvl="0" w:tplc="08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1">
    <w:nsid w:val="7A061940"/>
    <w:multiLevelType w:val="hybridMultilevel"/>
    <w:tmpl w:val="ABE2AEFE"/>
    <w:lvl w:ilvl="0" w:tplc="C7DA723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3"/>
  </w:num>
  <w:num w:numId="5">
    <w:abstractNumId w:val="24"/>
  </w:num>
  <w:num w:numId="6">
    <w:abstractNumId w:val="19"/>
  </w:num>
  <w:num w:numId="7">
    <w:abstractNumId w:val="18"/>
  </w:num>
  <w:num w:numId="8">
    <w:abstractNumId w:val="29"/>
  </w:num>
  <w:num w:numId="9">
    <w:abstractNumId w:val="30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3"/>
  </w:num>
  <w:num w:numId="15">
    <w:abstractNumId w:val="23"/>
  </w:num>
  <w:num w:numId="16">
    <w:abstractNumId w:val="31"/>
  </w:num>
  <w:num w:numId="17">
    <w:abstractNumId w:val="22"/>
  </w:num>
  <w:num w:numId="18">
    <w:abstractNumId w:val="27"/>
  </w:num>
  <w:num w:numId="19">
    <w:abstractNumId w:val="12"/>
  </w:num>
  <w:num w:numId="20">
    <w:abstractNumId w:val="0"/>
  </w:num>
  <w:num w:numId="21">
    <w:abstractNumId w:val="2"/>
  </w:num>
  <w:num w:numId="22">
    <w:abstractNumId w:val="26"/>
  </w:num>
  <w:num w:numId="23">
    <w:abstractNumId w:val="25"/>
  </w:num>
  <w:num w:numId="24">
    <w:abstractNumId w:val="9"/>
  </w:num>
  <w:num w:numId="25">
    <w:abstractNumId w:val="8"/>
  </w:num>
  <w:num w:numId="26">
    <w:abstractNumId w:val="6"/>
  </w:num>
  <w:num w:numId="27">
    <w:abstractNumId w:val="5"/>
  </w:num>
  <w:num w:numId="28">
    <w:abstractNumId w:val="28"/>
  </w:num>
  <w:num w:numId="29">
    <w:abstractNumId w:val="4"/>
  </w:num>
  <w:num w:numId="30">
    <w:abstractNumId w:val="20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83"/>
    <w:rsid w:val="00000066"/>
    <w:rsid w:val="00000E74"/>
    <w:rsid w:val="000036C9"/>
    <w:rsid w:val="00003F16"/>
    <w:rsid w:val="000066EB"/>
    <w:rsid w:val="00007C29"/>
    <w:rsid w:val="00010790"/>
    <w:rsid w:val="00010C24"/>
    <w:rsid w:val="00014B28"/>
    <w:rsid w:val="00022903"/>
    <w:rsid w:val="00025DAE"/>
    <w:rsid w:val="000266A8"/>
    <w:rsid w:val="00042F90"/>
    <w:rsid w:val="000433C6"/>
    <w:rsid w:val="000470F3"/>
    <w:rsid w:val="0005261D"/>
    <w:rsid w:val="00065E90"/>
    <w:rsid w:val="0007207C"/>
    <w:rsid w:val="000766E6"/>
    <w:rsid w:val="00081CFA"/>
    <w:rsid w:val="000828BC"/>
    <w:rsid w:val="000842BD"/>
    <w:rsid w:val="0008783E"/>
    <w:rsid w:val="000A08B5"/>
    <w:rsid w:val="000A0E40"/>
    <w:rsid w:val="000A27BE"/>
    <w:rsid w:val="000C1929"/>
    <w:rsid w:val="000C23C4"/>
    <w:rsid w:val="000D2C2E"/>
    <w:rsid w:val="000D5A9F"/>
    <w:rsid w:val="000D5AE5"/>
    <w:rsid w:val="000E5E2A"/>
    <w:rsid w:val="000E6DBF"/>
    <w:rsid w:val="000E77A2"/>
    <w:rsid w:val="000F0A72"/>
    <w:rsid w:val="000F5758"/>
    <w:rsid w:val="000F5DAF"/>
    <w:rsid w:val="00102D0E"/>
    <w:rsid w:val="00110E44"/>
    <w:rsid w:val="001129A2"/>
    <w:rsid w:val="00126934"/>
    <w:rsid w:val="001366AF"/>
    <w:rsid w:val="0014346F"/>
    <w:rsid w:val="001455C1"/>
    <w:rsid w:val="00146542"/>
    <w:rsid w:val="00154484"/>
    <w:rsid w:val="00164989"/>
    <w:rsid w:val="00164DDC"/>
    <w:rsid w:val="00166C95"/>
    <w:rsid w:val="00166EBE"/>
    <w:rsid w:val="00172CA0"/>
    <w:rsid w:val="00173B44"/>
    <w:rsid w:val="00177A73"/>
    <w:rsid w:val="00180D5A"/>
    <w:rsid w:val="001819AF"/>
    <w:rsid w:val="00182859"/>
    <w:rsid w:val="00194570"/>
    <w:rsid w:val="001947F0"/>
    <w:rsid w:val="0019577C"/>
    <w:rsid w:val="00195C2A"/>
    <w:rsid w:val="001A0A71"/>
    <w:rsid w:val="001A56FF"/>
    <w:rsid w:val="001A68F7"/>
    <w:rsid w:val="001B16F8"/>
    <w:rsid w:val="001B33B4"/>
    <w:rsid w:val="001B56AC"/>
    <w:rsid w:val="001B6FAF"/>
    <w:rsid w:val="001C3D0F"/>
    <w:rsid w:val="001C5C91"/>
    <w:rsid w:val="001C6845"/>
    <w:rsid w:val="001C6F40"/>
    <w:rsid w:val="001D01AC"/>
    <w:rsid w:val="001D0902"/>
    <w:rsid w:val="001E0B02"/>
    <w:rsid w:val="001E2AFA"/>
    <w:rsid w:val="001E3A0A"/>
    <w:rsid w:val="001E53E9"/>
    <w:rsid w:val="001E5FB9"/>
    <w:rsid w:val="001E619A"/>
    <w:rsid w:val="001E7C14"/>
    <w:rsid w:val="001F07D8"/>
    <w:rsid w:val="001F2F0B"/>
    <w:rsid w:val="001F5346"/>
    <w:rsid w:val="0020076A"/>
    <w:rsid w:val="002014C0"/>
    <w:rsid w:val="00201ED9"/>
    <w:rsid w:val="00204676"/>
    <w:rsid w:val="002056FF"/>
    <w:rsid w:val="002123EF"/>
    <w:rsid w:val="002125F7"/>
    <w:rsid w:val="00214F80"/>
    <w:rsid w:val="002226E5"/>
    <w:rsid w:val="00222E4A"/>
    <w:rsid w:val="00226A50"/>
    <w:rsid w:val="0022746E"/>
    <w:rsid w:val="00227DA7"/>
    <w:rsid w:val="00233B1B"/>
    <w:rsid w:val="00234A12"/>
    <w:rsid w:val="00237BA3"/>
    <w:rsid w:val="00237F35"/>
    <w:rsid w:val="00241383"/>
    <w:rsid w:val="0024480B"/>
    <w:rsid w:val="00251ED3"/>
    <w:rsid w:val="00253210"/>
    <w:rsid w:val="0025336B"/>
    <w:rsid w:val="00256067"/>
    <w:rsid w:val="00256AEF"/>
    <w:rsid w:val="00270174"/>
    <w:rsid w:val="00274E87"/>
    <w:rsid w:val="002810B3"/>
    <w:rsid w:val="00284731"/>
    <w:rsid w:val="00293B60"/>
    <w:rsid w:val="00294730"/>
    <w:rsid w:val="00297C0C"/>
    <w:rsid w:val="002A1B17"/>
    <w:rsid w:val="002A2534"/>
    <w:rsid w:val="002A4670"/>
    <w:rsid w:val="002A5369"/>
    <w:rsid w:val="002A6E66"/>
    <w:rsid w:val="002B28F0"/>
    <w:rsid w:val="002B3D60"/>
    <w:rsid w:val="002B53A5"/>
    <w:rsid w:val="002B55CD"/>
    <w:rsid w:val="002B5DD4"/>
    <w:rsid w:val="002C4317"/>
    <w:rsid w:val="002C6685"/>
    <w:rsid w:val="002D12F0"/>
    <w:rsid w:val="002D7E57"/>
    <w:rsid w:val="002E10CB"/>
    <w:rsid w:val="002E3C33"/>
    <w:rsid w:val="002E49F0"/>
    <w:rsid w:val="002E6572"/>
    <w:rsid w:val="002F3191"/>
    <w:rsid w:val="002F7044"/>
    <w:rsid w:val="003058E6"/>
    <w:rsid w:val="00311905"/>
    <w:rsid w:val="00314028"/>
    <w:rsid w:val="00322A4A"/>
    <w:rsid w:val="00323B85"/>
    <w:rsid w:val="00331BE8"/>
    <w:rsid w:val="00332F3C"/>
    <w:rsid w:val="00336A8E"/>
    <w:rsid w:val="003407F5"/>
    <w:rsid w:val="003411A1"/>
    <w:rsid w:val="003454C4"/>
    <w:rsid w:val="00345D2F"/>
    <w:rsid w:val="003475B5"/>
    <w:rsid w:val="003520B6"/>
    <w:rsid w:val="00352179"/>
    <w:rsid w:val="00355CD6"/>
    <w:rsid w:val="003668A8"/>
    <w:rsid w:val="003714D7"/>
    <w:rsid w:val="00373700"/>
    <w:rsid w:val="003759BD"/>
    <w:rsid w:val="00376102"/>
    <w:rsid w:val="0038754B"/>
    <w:rsid w:val="003930EA"/>
    <w:rsid w:val="003944AC"/>
    <w:rsid w:val="003B09F0"/>
    <w:rsid w:val="003B136C"/>
    <w:rsid w:val="003B62DB"/>
    <w:rsid w:val="003C0AA8"/>
    <w:rsid w:val="003D22E7"/>
    <w:rsid w:val="003D3D0F"/>
    <w:rsid w:val="003D6347"/>
    <w:rsid w:val="003D694E"/>
    <w:rsid w:val="003E5DDE"/>
    <w:rsid w:val="003E7B02"/>
    <w:rsid w:val="003F1CBB"/>
    <w:rsid w:val="003F1CDE"/>
    <w:rsid w:val="003F3AB3"/>
    <w:rsid w:val="003F4928"/>
    <w:rsid w:val="003F5369"/>
    <w:rsid w:val="00406FB6"/>
    <w:rsid w:val="00410D00"/>
    <w:rsid w:val="0041498F"/>
    <w:rsid w:val="004231A9"/>
    <w:rsid w:val="00424DC2"/>
    <w:rsid w:val="00426412"/>
    <w:rsid w:val="00434BFB"/>
    <w:rsid w:val="00440E27"/>
    <w:rsid w:val="0044256F"/>
    <w:rsid w:val="004526A0"/>
    <w:rsid w:val="00453780"/>
    <w:rsid w:val="00455B16"/>
    <w:rsid w:val="004671CF"/>
    <w:rsid w:val="00470BAB"/>
    <w:rsid w:val="0048183C"/>
    <w:rsid w:val="00484F1B"/>
    <w:rsid w:val="004A0F3F"/>
    <w:rsid w:val="004A42B2"/>
    <w:rsid w:val="004B2A97"/>
    <w:rsid w:val="004B67B7"/>
    <w:rsid w:val="004B7ED4"/>
    <w:rsid w:val="004C22F7"/>
    <w:rsid w:val="004C2909"/>
    <w:rsid w:val="004C4D55"/>
    <w:rsid w:val="004D035D"/>
    <w:rsid w:val="004D7F0E"/>
    <w:rsid w:val="004E527A"/>
    <w:rsid w:val="004F3172"/>
    <w:rsid w:val="004F3D51"/>
    <w:rsid w:val="004F4B3C"/>
    <w:rsid w:val="004F5EEC"/>
    <w:rsid w:val="004F6D26"/>
    <w:rsid w:val="00504529"/>
    <w:rsid w:val="005068D5"/>
    <w:rsid w:val="00512CEA"/>
    <w:rsid w:val="00514F8D"/>
    <w:rsid w:val="00526F55"/>
    <w:rsid w:val="00527313"/>
    <w:rsid w:val="005315F2"/>
    <w:rsid w:val="005322A8"/>
    <w:rsid w:val="0053312E"/>
    <w:rsid w:val="00535783"/>
    <w:rsid w:val="00537BEE"/>
    <w:rsid w:val="00540189"/>
    <w:rsid w:val="00540340"/>
    <w:rsid w:val="00542A04"/>
    <w:rsid w:val="00542F03"/>
    <w:rsid w:val="005461A4"/>
    <w:rsid w:val="0054672D"/>
    <w:rsid w:val="00547EDF"/>
    <w:rsid w:val="00552755"/>
    <w:rsid w:val="005559DF"/>
    <w:rsid w:val="00561F37"/>
    <w:rsid w:val="0056216B"/>
    <w:rsid w:val="00562C70"/>
    <w:rsid w:val="00565B63"/>
    <w:rsid w:val="00567121"/>
    <w:rsid w:val="00574C6D"/>
    <w:rsid w:val="00577151"/>
    <w:rsid w:val="005852D3"/>
    <w:rsid w:val="00586C0A"/>
    <w:rsid w:val="00594E7F"/>
    <w:rsid w:val="005968CF"/>
    <w:rsid w:val="00596C6F"/>
    <w:rsid w:val="005A33BF"/>
    <w:rsid w:val="005A453E"/>
    <w:rsid w:val="005B5389"/>
    <w:rsid w:val="005C1842"/>
    <w:rsid w:val="005C28F6"/>
    <w:rsid w:val="005C5C82"/>
    <w:rsid w:val="005C5E03"/>
    <w:rsid w:val="005D0210"/>
    <w:rsid w:val="005D1E1D"/>
    <w:rsid w:val="005D3F44"/>
    <w:rsid w:val="005E3E50"/>
    <w:rsid w:val="005E4302"/>
    <w:rsid w:val="005E6F19"/>
    <w:rsid w:val="005F1628"/>
    <w:rsid w:val="005F2A55"/>
    <w:rsid w:val="005F3661"/>
    <w:rsid w:val="006014D0"/>
    <w:rsid w:val="00604720"/>
    <w:rsid w:val="006052E8"/>
    <w:rsid w:val="00607E27"/>
    <w:rsid w:val="00613738"/>
    <w:rsid w:val="006225F4"/>
    <w:rsid w:val="006261FF"/>
    <w:rsid w:val="00627D2D"/>
    <w:rsid w:val="00632797"/>
    <w:rsid w:val="00634E23"/>
    <w:rsid w:val="00641806"/>
    <w:rsid w:val="006441EC"/>
    <w:rsid w:val="00645DAF"/>
    <w:rsid w:val="00646787"/>
    <w:rsid w:val="00646803"/>
    <w:rsid w:val="00647DC2"/>
    <w:rsid w:val="006634A3"/>
    <w:rsid w:val="00665120"/>
    <w:rsid w:val="00667B15"/>
    <w:rsid w:val="00670660"/>
    <w:rsid w:val="006714FA"/>
    <w:rsid w:val="006720D2"/>
    <w:rsid w:val="0067323B"/>
    <w:rsid w:val="006817A7"/>
    <w:rsid w:val="00684643"/>
    <w:rsid w:val="006874D0"/>
    <w:rsid w:val="00690E7B"/>
    <w:rsid w:val="00693216"/>
    <w:rsid w:val="006949D3"/>
    <w:rsid w:val="00694E48"/>
    <w:rsid w:val="006A1F68"/>
    <w:rsid w:val="006A233E"/>
    <w:rsid w:val="006A7B10"/>
    <w:rsid w:val="006B2EA6"/>
    <w:rsid w:val="006B589B"/>
    <w:rsid w:val="006B7717"/>
    <w:rsid w:val="006C3FD1"/>
    <w:rsid w:val="006C751E"/>
    <w:rsid w:val="006D771C"/>
    <w:rsid w:val="006E1685"/>
    <w:rsid w:val="006F4CB5"/>
    <w:rsid w:val="006F5173"/>
    <w:rsid w:val="0070043F"/>
    <w:rsid w:val="007004B4"/>
    <w:rsid w:val="00704BAA"/>
    <w:rsid w:val="00705D4E"/>
    <w:rsid w:val="007103BB"/>
    <w:rsid w:val="007134FB"/>
    <w:rsid w:val="00730AAF"/>
    <w:rsid w:val="00732D4F"/>
    <w:rsid w:val="00736DF7"/>
    <w:rsid w:val="00741440"/>
    <w:rsid w:val="00742163"/>
    <w:rsid w:val="00745329"/>
    <w:rsid w:val="00747AC3"/>
    <w:rsid w:val="00747FF2"/>
    <w:rsid w:val="007514D1"/>
    <w:rsid w:val="00752EFE"/>
    <w:rsid w:val="00754BD6"/>
    <w:rsid w:val="007564E9"/>
    <w:rsid w:val="00757856"/>
    <w:rsid w:val="00761573"/>
    <w:rsid w:val="00764E41"/>
    <w:rsid w:val="00766DC3"/>
    <w:rsid w:val="007716AD"/>
    <w:rsid w:val="00776653"/>
    <w:rsid w:val="0077782F"/>
    <w:rsid w:val="007861E0"/>
    <w:rsid w:val="00793945"/>
    <w:rsid w:val="00796455"/>
    <w:rsid w:val="007A11C0"/>
    <w:rsid w:val="007A2FD7"/>
    <w:rsid w:val="007B1D7D"/>
    <w:rsid w:val="007B3C72"/>
    <w:rsid w:val="007C37D3"/>
    <w:rsid w:val="007D3068"/>
    <w:rsid w:val="007D6ECA"/>
    <w:rsid w:val="007E12C8"/>
    <w:rsid w:val="007E1B93"/>
    <w:rsid w:val="007E349A"/>
    <w:rsid w:val="007E655B"/>
    <w:rsid w:val="007F4DB5"/>
    <w:rsid w:val="007F50F9"/>
    <w:rsid w:val="007F7122"/>
    <w:rsid w:val="0080519D"/>
    <w:rsid w:val="008062A7"/>
    <w:rsid w:val="00810A06"/>
    <w:rsid w:val="00810F7A"/>
    <w:rsid w:val="008136B1"/>
    <w:rsid w:val="00816024"/>
    <w:rsid w:val="00817105"/>
    <w:rsid w:val="008253D1"/>
    <w:rsid w:val="0083355F"/>
    <w:rsid w:val="008367C0"/>
    <w:rsid w:val="008367D4"/>
    <w:rsid w:val="00852036"/>
    <w:rsid w:val="00854912"/>
    <w:rsid w:val="00855D02"/>
    <w:rsid w:val="008619A7"/>
    <w:rsid w:val="00870C0E"/>
    <w:rsid w:val="0087785D"/>
    <w:rsid w:val="00884564"/>
    <w:rsid w:val="00887C90"/>
    <w:rsid w:val="008946AD"/>
    <w:rsid w:val="008A30F1"/>
    <w:rsid w:val="008A691A"/>
    <w:rsid w:val="008B27DF"/>
    <w:rsid w:val="008B63E0"/>
    <w:rsid w:val="008B6652"/>
    <w:rsid w:val="008D1005"/>
    <w:rsid w:val="008D1E8A"/>
    <w:rsid w:val="008D4336"/>
    <w:rsid w:val="008D5DB7"/>
    <w:rsid w:val="008D63CC"/>
    <w:rsid w:val="008E1821"/>
    <w:rsid w:val="008E1A67"/>
    <w:rsid w:val="008E2248"/>
    <w:rsid w:val="008E4F26"/>
    <w:rsid w:val="008E5B17"/>
    <w:rsid w:val="008E6780"/>
    <w:rsid w:val="008F4F51"/>
    <w:rsid w:val="008F53BD"/>
    <w:rsid w:val="008F5D64"/>
    <w:rsid w:val="00901B5E"/>
    <w:rsid w:val="00902DEA"/>
    <w:rsid w:val="00910F73"/>
    <w:rsid w:val="009114B2"/>
    <w:rsid w:val="009117B4"/>
    <w:rsid w:val="00913305"/>
    <w:rsid w:val="00920670"/>
    <w:rsid w:val="00921DA1"/>
    <w:rsid w:val="00923618"/>
    <w:rsid w:val="00924533"/>
    <w:rsid w:val="00926708"/>
    <w:rsid w:val="009267EE"/>
    <w:rsid w:val="0093168C"/>
    <w:rsid w:val="009318A9"/>
    <w:rsid w:val="00937EC9"/>
    <w:rsid w:val="009407B6"/>
    <w:rsid w:val="00944C8A"/>
    <w:rsid w:val="009466B0"/>
    <w:rsid w:val="00950C0A"/>
    <w:rsid w:val="00950EA2"/>
    <w:rsid w:val="00953ED2"/>
    <w:rsid w:val="00956207"/>
    <w:rsid w:val="00957469"/>
    <w:rsid w:val="00964238"/>
    <w:rsid w:val="00967586"/>
    <w:rsid w:val="00967945"/>
    <w:rsid w:val="0097121B"/>
    <w:rsid w:val="009718D0"/>
    <w:rsid w:val="009760E0"/>
    <w:rsid w:val="0098184A"/>
    <w:rsid w:val="00982319"/>
    <w:rsid w:val="00982E49"/>
    <w:rsid w:val="00990054"/>
    <w:rsid w:val="009905A2"/>
    <w:rsid w:val="009A4831"/>
    <w:rsid w:val="009A6D9E"/>
    <w:rsid w:val="009A7D5E"/>
    <w:rsid w:val="009B3512"/>
    <w:rsid w:val="009C07F6"/>
    <w:rsid w:val="009C14D8"/>
    <w:rsid w:val="009C1790"/>
    <w:rsid w:val="009C66B5"/>
    <w:rsid w:val="009D3CD4"/>
    <w:rsid w:val="009D45EF"/>
    <w:rsid w:val="009D6D84"/>
    <w:rsid w:val="009D7268"/>
    <w:rsid w:val="009E0318"/>
    <w:rsid w:val="009E5621"/>
    <w:rsid w:val="009E5BDB"/>
    <w:rsid w:val="009E76AE"/>
    <w:rsid w:val="009F0F38"/>
    <w:rsid w:val="009F16CB"/>
    <w:rsid w:val="00A00B19"/>
    <w:rsid w:val="00A051A0"/>
    <w:rsid w:val="00A0548B"/>
    <w:rsid w:val="00A059C8"/>
    <w:rsid w:val="00A14868"/>
    <w:rsid w:val="00A168FF"/>
    <w:rsid w:val="00A22CDE"/>
    <w:rsid w:val="00A4231C"/>
    <w:rsid w:val="00A43917"/>
    <w:rsid w:val="00A51022"/>
    <w:rsid w:val="00A53F02"/>
    <w:rsid w:val="00A61B01"/>
    <w:rsid w:val="00A62BC9"/>
    <w:rsid w:val="00A63CB2"/>
    <w:rsid w:val="00A6404B"/>
    <w:rsid w:val="00A66288"/>
    <w:rsid w:val="00A723DD"/>
    <w:rsid w:val="00A725FB"/>
    <w:rsid w:val="00A727FA"/>
    <w:rsid w:val="00A73951"/>
    <w:rsid w:val="00A81005"/>
    <w:rsid w:val="00A8663A"/>
    <w:rsid w:val="00A87761"/>
    <w:rsid w:val="00A90C55"/>
    <w:rsid w:val="00A93565"/>
    <w:rsid w:val="00A95607"/>
    <w:rsid w:val="00AA69DF"/>
    <w:rsid w:val="00AA7972"/>
    <w:rsid w:val="00AA7B64"/>
    <w:rsid w:val="00AB04F4"/>
    <w:rsid w:val="00AB1B2D"/>
    <w:rsid w:val="00AB383B"/>
    <w:rsid w:val="00AB3EF2"/>
    <w:rsid w:val="00AE106F"/>
    <w:rsid w:val="00AF2B37"/>
    <w:rsid w:val="00AF604B"/>
    <w:rsid w:val="00AF61D4"/>
    <w:rsid w:val="00B007C5"/>
    <w:rsid w:val="00B00920"/>
    <w:rsid w:val="00B072CF"/>
    <w:rsid w:val="00B1188F"/>
    <w:rsid w:val="00B20E0C"/>
    <w:rsid w:val="00B26B43"/>
    <w:rsid w:val="00B30F0C"/>
    <w:rsid w:val="00B31F51"/>
    <w:rsid w:val="00B44449"/>
    <w:rsid w:val="00B51031"/>
    <w:rsid w:val="00B57F69"/>
    <w:rsid w:val="00B65A1A"/>
    <w:rsid w:val="00B660B0"/>
    <w:rsid w:val="00B70935"/>
    <w:rsid w:val="00B71667"/>
    <w:rsid w:val="00B72A30"/>
    <w:rsid w:val="00B82E15"/>
    <w:rsid w:val="00B82E5F"/>
    <w:rsid w:val="00B85046"/>
    <w:rsid w:val="00B86427"/>
    <w:rsid w:val="00B90069"/>
    <w:rsid w:val="00B92DDB"/>
    <w:rsid w:val="00B93C73"/>
    <w:rsid w:val="00B96136"/>
    <w:rsid w:val="00B97E5A"/>
    <w:rsid w:val="00BA01D4"/>
    <w:rsid w:val="00BA3AC5"/>
    <w:rsid w:val="00BA4EFB"/>
    <w:rsid w:val="00BA59F5"/>
    <w:rsid w:val="00BA7A3A"/>
    <w:rsid w:val="00BB04D4"/>
    <w:rsid w:val="00BB4B8D"/>
    <w:rsid w:val="00BC13DC"/>
    <w:rsid w:val="00BD0192"/>
    <w:rsid w:val="00BD3281"/>
    <w:rsid w:val="00BD3505"/>
    <w:rsid w:val="00BD3B87"/>
    <w:rsid w:val="00BD5733"/>
    <w:rsid w:val="00BF01AF"/>
    <w:rsid w:val="00BF468F"/>
    <w:rsid w:val="00C0395F"/>
    <w:rsid w:val="00C04FD7"/>
    <w:rsid w:val="00C12A52"/>
    <w:rsid w:val="00C2496E"/>
    <w:rsid w:val="00C25CB9"/>
    <w:rsid w:val="00C25F64"/>
    <w:rsid w:val="00C31DA3"/>
    <w:rsid w:val="00C339C7"/>
    <w:rsid w:val="00C34BF9"/>
    <w:rsid w:val="00C45496"/>
    <w:rsid w:val="00C50731"/>
    <w:rsid w:val="00C555DA"/>
    <w:rsid w:val="00C56E31"/>
    <w:rsid w:val="00C578AC"/>
    <w:rsid w:val="00C70DA0"/>
    <w:rsid w:val="00C7455C"/>
    <w:rsid w:val="00C774C1"/>
    <w:rsid w:val="00C8075B"/>
    <w:rsid w:val="00C817BA"/>
    <w:rsid w:val="00C8263C"/>
    <w:rsid w:val="00C83967"/>
    <w:rsid w:val="00C90475"/>
    <w:rsid w:val="00C95357"/>
    <w:rsid w:val="00C97385"/>
    <w:rsid w:val="00CA370E"/>
    <w:rsid w:val="00CA5E1D"/>
    <w:rsid w:val="00CA674A"/>
    <w:rsid w:val="00CA7015"/>
    <w:rsid w:val="00CC04A9"/>
    <w:rsid w:val="00CC32C1"/>
    <w:rsid w:val="00CC3438"/>
    <w:rsid w:val="00CC6A0C"/>
    <w:rsid w:val="00CC7FA1"/>
    <w:rsid w:val="00CD21BE"/>
    <w:rsid w:val="00CD47F5"/>
    <w:rsid w:val="00CD4E69"/>
    <w:rsid w:val="00CD6355"/>
    <w:rsid w:val="00CE53E1"/>
    <w:rsid w:val="00D00A7D"/>
    <w:rsid w:val="00D02BB0"/>
    <w:rsid w:val="00D0377D"/>
    <w:rsid w:val="00D067D8"/>
    <w:rsid w:val="00D10D26"/>
    <w:rsid w:val="00D1196B"/>
    <w:rsid w:val="00D15180"/>
    <w:rsid w:val="00D201E2"/>
    <w:rsid w:val="00D209E3"/>
    <w:rsid w:val="00D22972"/>
    <w:rsid w:val="00D26712"/>
    <w:rsid w:val="00D34834"/>
    <w:rsid w:val="00D360FB"/>
    <w:rsid w:val="00D41034"/>
    <w:rsid w:val="00D41D7F"/>
    <w:rsid w:val="00D459EE"/>
    <w:rsid w:val="00D50D55"/>
    <w:rsid w:val="00D570B9"/>
    <w:rsid w:val="00D642F4"/>
    <w:rsid w:val="00D6675B"/>
    <w:rsid w:val="00D66764"/>
    <w:rsid w:val="00D700CB"/>
    <w:rsid w:val="00D70728"/>
    <w:rsid w:val="00D76159"/>
    <w:rsid w:val="00D77768"/>
    <w:rsid w:val="00D81F78"/>
    <w:rsid w:val="00D82CDD"/>
    <w:rsid w:val="00D839DF"/>
    <w:rsid w:val="00D913FE"/>
    <w:rsid w:val="00D92CA6"/>
    <w:rsid w:val="00D93F8C"/>
    <w:rsid w:val="00D95FAF"/>
    <w:rsid w:val="00D97041"/>
    <w:rsid w:val="00DA0B77"/>
    <w:rsid w:val="00DA6D52"/>
    <w:rsid w:val="00DB0687"/>
    <w:rsid w:val="00DB639B"/>
    <w:rsid w:val="00DC3519"/>
    <w:rsid w:val="00DC6463"/>
    <w:rsid w:val="00DD56BA"/>
    <w:rsid w:val="00DD65B2"/>
    <w:rsid w:val="00DD69F9"/>
    <w:rsid w:val="00DE51AF"/>
    <w:rsid w:val="00DF5A83"/>
    <w:rsid w:val="00DF5B7A"/>
    <w:rsid w:val="00DF620F"/>
    <w:rsid w:val="00E01F5D"/>
    <w:rsid w:val="00E03399"/>
    <w:rsid w:val="00E043BB"/>
    <w:rsid w:val="00E07F37"/>
    <w:rsid w:val="00E15B7B"/>
    <w:rsid w:val="00E16938"/>
    <w:rsid w:val="00E176DB"/>
    <w:rsid w:val="00E21F6E"/>
    <w:rsid w:val="00E244A9"/>
    <w:rsid w:val="00E41C63"/>
    <w:rsid w:val="00E4587A"/>
    <w:rsid w:val="00E532E8"/>
    <w:rsid w:val="00E55C27"/>
    <w:rsid w:val="00E56E97"/>
    <w:rsid w:val="00E6065E"/>
    <w:rsid w:val="00E61390"/>
    <w:rsid w:val="00E6174D"/>
    <w:rsid w:val="00E65FA8"/>
    <w:rsid w:val="00E672EF"/>
    <w:rsid w:val="00E71CDD"/>
    <w:rsid w:val="00E727F6"/>
    <w:rsid w:val="00E76FFE"/>
    <w:rsid w:val="00E81BCA"/>
    <w:rsid w:val="00E8502C"/>
    <w:rsid w:val="00E8695A"/>
    <w:rsid w:val="00E925F8"/>
    <w:rsid w:val="00E92DE2"/>
    <w:rsid w:val="00E94322"/>
    <w:rsid w:val="00EA08B7"/>
    <w:rsid w:val="00EA0DDB"/>
    <w:rsid w:val="00EA18BD"/>
    <w:rsid w:val="00EA2438"/>
    <w:rsid w:val="00EA6733"/>
    <w:rsid w:val="00EB01F1"/>
    <w:rsid w:val="00EB40BD"/>
    <w:rsid w:val="00EC0BBD"/>
    <w:rsid w:val="00EC26E8"/>
    <w:rsid w:val="00ED043E"/>
    <w:rsid w:val="00ED5941"/>
    <w:rsid w:val="00EE00E7"/>
    <w:rsid w:val="00EE1EC9"/>
    <w:rsid w:val="00EE23EA"/>
    <w:rsid w:val="00EE6BA0"/>
    <w:rsid w:val="00EE744A"/>
    <w:rsid w:val="00EF431F"/>
    <w:rsid w:val="00EF5F86"/>
    <w:rsid w:val="00EF6DD5"/>
    <w:rsid w:val="00EF6F56"/>
    <w:rsid w:val="00F03658"/>
    <w:rsid w:val="00F15C37"/>
    <w:rsid w:val="00F1756C"/>
    <w:rsid w:val="00F249B8"/>
    <w:rsid w:val="00F24CE1"/>
    <w:rsid w:val="00F250E9"/>
    <w:rsid w:val="00F26D6F"/>
    <w:rsid w:val="00F30A06"/>
    <w:rsid w:val="00F359A4"/>
    <w:rsid w:val="00F430AF"/>
    <w:rsid w:val="00F43EC7"/>
    <w:rsid w:val="00F44E81"/>
    <w:rsid w:val="00F46B34"/>
    <w:rsid w:val="00F50E46"/>
    <w:rsid w:val="00F51104"/>
    <w:rsid w:val="00F512C9"/>
    <w:rsid w:val="00F5180D"/>
    <w:rsid w:val="00F6110D"/>
    <w:rsid w:val="00F65DE7"/>
    <w:rsid w:val="00F66950"/>
    <w:rsid w:val="00F67BED"/>
    <w:rsid w:val="00F76D17"/>
    <w:rsid w:val="00F7785C"/>
    <w:rsid w:val="00F82564"/>
    <w:rsid w:val="00F851A9"/>
    <w:rsid w:val="00F871F0"/>
    <w:rsid w:val="00F9491C"/>
    <w:rsid w:val="00FA0E8D"/>
    <w:rsid w:val="00FA2ED2"/>
    <w:rsid w:val="00FA4763"/>
    <w:rsid w:val="00FA4985"/>
    <w:rsid w:val="00FA4F13"/>
    <w:rsid w:val="00FB5ED0"/>
    <w:rsid w:val="00FC6F13"/>
    <w:rsid w:val="00FD1095"/>
    <w:rsid w:val="00FD22C4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0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1"/>
    </w:pPr>
    <w:rPr>
      <w:rFonts w:ascii="Univers" w:hAnsi="Univer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sz w:val="20"/>
    </w:rPr>
  </w:style>
  <w:style w:type="paragraph" w:customStyle="1" w:styleId="mins-body">
    <w:name w:val="mins-body"/>
    <w:basedOn w:val="Normal"/>
    <w:pPr>
      <w:tabs>
        <w:tab w:val="left" w:pos="940"/>
        <w:tab w:val="left" w:pos="1700"/>
        <w:tab w:val="left" w:pos="2268"/>
        <w:tab w:val="left" w:pos="3831"/>
        <w:tab w:val="right" w:pos="6802"/>
        <w:tab w:val="right" w:pos="8991"/>
      </w:tabs>
      <w:ind w:left="941"/>
      <w:jc w:val="both"/>
    </w:pPr>
    <w:rPr>
      <w:rFonts w:ascii="Univers" w:hAnsi="Univers"/>
      <w:sz w:val="20"/>
    </w:rPr>
  </w:style>
  <w:style w:type="paragraph" w:customStyle="1" w:styleId="Mins-subhead">
    <w:name w:val="Mins-subhead"/>
    <w:basedOn w:val="Normal"/>
    <w:pPr>
      <w:tabs>
        <w:tab w:val="left" w:pos="940"/>
        <w:tab w:val="left" w:pos="1418"/>
        <w:tab w:val="left" w:pos="2268"/>
        <w:tab w:val="left" w:pos="3831"/>
        <w:tab w:val="right" w:pos="6802"/>
        <w:tab w:val="right" w:pos="8991"/>
      </w:tabs>
      <w:ind w:left="941"/>
    </w:pPr>
    <w:rPr>
      <w:rFonts w:ascii="Univers" w:hAnsi="Univers"/>
      <w:b/>
      <w:sz w:val="20"/>
    </w:rPr>
  </w:style>
  <w:style w:type="paragraph" w:customStyle="1" w:styleId="minsbody">
    <w:name w:val="mins body"/>
    <w:basedOn w:val="BodyTextIndent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sid w:val="00214F80"/>
    <w:rPr>
      <w:color w:val="0000FF"/>
      <w:u w:val="single"/>
    </w:rPr>
  </w:style>
  <w:style w:type="paragraph" w:styleId="DocumentMap">
    <w:name w:val="Document Map"/>
    <w:basedOn w:val="Normal"/>
    <w:semiHidden/>
    <w:rsid w:val="007E655B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B70935"/>
    <w:rPr>
      <w:rFonts w:ascii="Courier New" w:hAnsi="Courier New"/>
      <w:snapToGrid w:val="0"/>
      <w:sz w:val="24"/>
      <w:lang w:eastAsia="en-US"/>
    </w:rPr>
  </w:style>
  <w:style w:type="paragraph" w:customStyle="1" w:styleId="minsheading">
    <w:name w:val="mins heading"/>
    <w:basedOn w:val="Normal"/>
    <w:rsid w:val="00EF6F56"/>
    <w:pPr>
      <w:widowControl/>
      <w:tabs>
        <w:tab w:val="left" w:pos="992"/>
        <w:tab w:val="left" w:pos="1418"/>
      </w:tabs>
    </w:pPr>
    <w:rPr>
      <w:rFonts w:ascii="Univers" w:hAnsi="Univers"/>
      <w:b/>
      <w:caps/>
      <w:snapToGrid/>
      <w:sz w:val="20"/>
    </w:rPr>
  </w:style>
  <w:style w:type="paragraph" w:customStyle="1" w:styleId="minssubheading">
    <w:name w:val="mins subheading"/>
    <w:basedOn w:val="minsbody"/>
    <w:rsid w:val="00EF6F56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</w:pPr>
    <w:rPr>
      <w:b/>
      <w:snapToGrid/>
    </w:rPr>
  </w:style>
  <w:style w:type="paragraph" w:styleId="NormalIndent">
    <w:name w:val="Normal Indent"/>
    <w:basedOn w:val="Normal"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103"/>
        <w:tab w:val="right" w:pos="9072"/>
      </w:tabs>
      <w:ind w:left="720"/>
    </w:pPr>
    <w:rPr>
      <w:rFonts w:ascii="Arial" w:hAnsi="Arial"/>
      <w:snapToGrid/>
      <w:sz w:val="22"/>
    </w:rPr>
  </w:style>
  <w:style w:type="paragraph" w:styleId="ListParagraph">
    <w:name w:val="List Paragraph"/>
    <w:basedOn w:val="Normal"/>
    <w:uiPriority w:val="34"/>
    <w:qFormat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ind w:left="720"/>
      <w:contextualSpacing/>
      <w:jc w:val="both"/>
    </w:pPr>
    <w:rPr>
      <w:rFonts w:ascii="Univers" w:hAnsi="Univers"/>
      <w:snapToGrid/>
      <w:sz w:val="22"/>
    </w:rPr>
  </w:style>
  <w:style w:type="paragraph" w:styleId="Footer">
    <w:name w:val="footer"/>
    <w:basedOn w:val="Normal"/>
    <w:link w:val="FooterChar"/>
    <w:rsid w:val="0005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61D"/>
    <w:rPr>
      <w:rFonts w:ascii="Courier New" w:hAnsi="Courier New"/>
      <w:snapToGrid w:val="0"/>
      <w:sz w:val="24"/>
      <w:lang w:eastAsia="en-US"/>
    </w:rPr>
  </w:style>
  <w:style w:type="paragraph" w:customStyle="1" w:styleId="minute">
    <w:name w:val="minute"/>
    <w:basedOn w:val="Normal"/>
    <w:link w:val="minuteChar"/>
    <w:qFormat/>
    <w:rsid w:val="006261FF"/>
    <w:pPr>
      <w:widowControl/>
      <w:tabs>
        <w:tab w:val="left" w:pos="567"/>
        <w:tab w:val="left" w:pos="990"/>
        <w:tab w:val="left" w:pos="1430"/>
        <w:tab w:val="left" w:pos="2268"/>
        <w:tab w:val="left" w:pos="5670"/>
        <w:tab w:val="right" w:pos="9072"/>
      </w:tabs>
      <w:ind w:left="990" w:hanging="990"/>
    </w:pPr>
    <w:rPr>
      <w:rFonts w:ascii="Arial" w:hAnsi="Arial"/>
      <w:snapToGrid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6261FF"/>
    <w:rPr>
      <w:rFonts w:ascii="Arial" w:hAnsi="Arial"/>
      <w:lang w:val="x-none" w:eastAsia="en-US"/>
    </w:rPr>
  </w:style>
  <w:style w:type="character" w:customStyle="1" w:styleId="BalloonTextChar">
    <w:name w:val="Balloon Text Char"/>
    <w:link w:val="BalloonText"/>
    <w:locked/>
    <w:rsid w:val="00F6110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D3505"/>
    <w:pPr>
      <w:widowControl/>
      <w:ind w:left="720"/>
    </w:pPr>
    <w:rPr>
      <w:rFonts w:ascii="Arial" w:hAnsi="Arial"/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1"/>
    </w:pPr>
    <w:rPr>
      <w:rFonts w:ascii="Univers" w:hAnsi="Univer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sz w:val="20"/>
    </w:rPr>
  </w:style>
  <w:style w:type="paragraph" w:customStyle="1" w:styleId="mins-body">
    <w:name w:val="mins-body"/>
    <w:basedOn w:val="Normal"/>
    <w:pPr>
      <w:tabs>
        <w:tab w:val="left" w:pos="940"/>
        <w:tab w:val="left" w:pos="1700"/>
        <w:tab w:val="left" w:pos="2268"/>
        <w:tab w:val="left" w:pos="3831"/>
        <w:tab w:val="right" w:pos="6802"/>
        <w:tab w:val="right" w:pos="8991"/>
      </w:tabs>
      <w:ind w:left="941"/>
      <w:jc w:val="both"/>
    </w:pPr>
    <w:rPr>
      <w:rFonts w:ascii="Univers" w:hAnsi="Univers"/>
      <w:sz w:val="20"/>
    </w:rPr>
  </w:style>
  <w:style w:type="paragraph" w:customStyle="1" w:styleId="Mins-subhead">
    <w:name w:val="Mins-subhead"/>
    <w:basedOn w:val="Normal"/>
    <w:pPr>
      <w:tabs>
        <w:tab w:val="left" w:pos="940"/>
        <w:tab w:val="left" w:pos="1418"/>
        <w:tab w:val="left" w:pos="2268"/>
        <w:tab w:val="left" w:pos="3831"/>
        <w:tab w:val="right" w:pos="6802"/>
        <w:tab w:val="right" w:pos="8991"/>
      </w:tabs>
      <w:ind w:left="941"/>
    </w:pPr>
    <w:rPr>
      <w:rFonts w:ascii="Univers" w:hAnsi="Univers"/>
      <w:b/>
      <w:sz w:val="20"/>
    </w:rPr>
  </w:style>
  <w:style w:type="paragraph" w:customStyle="1" w:styleId="minsbody">
    <w:name w:val="mins body"/>
    <w:basedOn w:val="BodyTextIndent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sid w:val="00214F80"/>
    <w:rPr>
      <w:color w:val="0000FF"/>
      <w:u w:val="single"/>
    </w:rPr>
  </w:style>
  <w:style w:type="paragraph" w:styleId="DocumentMap">
    <w:name w:val="Document Map"/>
    <w:basedOn w:val="Normal"/>
    <w:semiHidden/>
    <w:rsid w:val="007E655B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B70935"/>
    <w:rPr>
      <w:rFonts w:ascii="Courier New" w:hAnsi="Courier New"/>
      <w:snapToGrid w:val="0"/>
      <w:sz w:val="24"/>
      <w:lang w:eastAsia="en-US"/>
    </w:rPr>
  </w:style>
  <w:style w:type="paragraph" w:customStyle="1" w:styleId="minsheading">
    <w:name w:val="mins heading"/>
    <w:basedOn w:val="Normal"/>
    <w:rsid w:val="00EF6F56"/>
    <w:pPr>
      <w:widowControl/>
      <w:tabs>
        <w:tab w:val="left" w:pos="992"/>
        <w:tab w:val="left" w:pos="1418"/>
      </w:tabs>
    </w:pPr>
    <w:rPr>
      <w:rFonts w:ascii="Univers" w:hAnsi="Univers"/>
      <w:b/>
      <w:caps/>
      <w:snapToGrid/>
      <w:sz w:val="20"/>
    </w:rPr>
  </w:style>
  <w:style w:type="paragraph" w:customStyle="1" w:styleId="minssubheading">
    <w:name w:val="mins subheading"/>
    <w:basedOn w:val="minsbody"/>
    <w:rsid w:val="00EF6F56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</w:pPr>
    <w:rPr>
      <w:b/>
      <w:snapToGrid/>
    </w:rPr>
  </w:style>
  <w:style w:type="paragraph" w:styleId="NormalIndent">
    <w:name w:val="Normal Indent"/>
    <w:basedOn w:val="Normal"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103"/>
        <w:tab w:val="right" w:pos="9072"/>
      </w:tabs>
      <w:ind w:left="720"/>
    </w:pPr>
    <w:rPr>
      <w:rFonts w:ascii="Arial" w:hAnsi="Arial"/>
      <w:snapToGrid/>
      <w:sz w:val="22"/>
    </w:rPr>
  </w:style>
  <w:style w:type="paragraph" w:styleId="ListParagraph">
    <w:name w:val="List Paragraph"/>
    <w:basedOn w:val="Normal"/>
    <w:uiPriority w:val="34"/>
    <w:qFormat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ind w:left="720"/>
      <w:contextualSpacing/>
      <w:jc w:val="both"/>
    </w:pPr>
    <w:rPr>
      <w:rFonts w:ascii="Univers" w:hAnsi="Univers"/>
      <w:snapToGrid/>
      <w:sz w:val="22"/>
    </w:rPr>
  </w:style>
  <w:style w:type="paragraph" w:styleId="Footer">
    <w:name w:val="footer"/>
    <w:basedOn w:val="Normal"/>
    <w:link w:val="FooterChar"/>
    <w:rsid w:val="0005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61D"/>
    <w:rPr>
      <w:rFonts w:ascii="Courier New" w:hAnsi="Courier New"/>
      <w:snapToGrid w:val="0"/>
      <w:sz w:val="24"/>
      <w:lang w:eastAsia="en-US"/>
    </w:rPr>
  </w:style>
  <w:style w:type="paragraph" w:customStyle="1" w:styleId="minute">
    <w:name w:val="minute"/>
    <w:basedOn w:val="Normal"/>
    <w:link w:val="minuteChar"/>
    <w:qFormat/>
    <w:rsid w:val="006261FF"/>
    <w:pPr>
      <w:widowControl/>
      <w:tabs>
        <w:tab w:val="left" w:pos="567"/>
        <w:tab w:val="left" w:pos="990"/>
        <w:tab w:val="left" w:pos="1430"/>
        <w:tab w:val="left" w:pos="2268"/>
        <w:tab w:val="left" w:pos="5670"/>
        <w:tab w:val="right" w:pos="9072"/>
      </w:tabs>
      <w:ind w:left="990" w:hanging="990"/>
    </w:pPr>
    <w:rPr>
      <w:rFonts w:ascii="Arial" w:hAnsi="Arial"/>
      <w:snapToGrid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6261FF"/>
    <w:rPr>
      <w:rFonts w:ascii="Arial" w:hAnsi="Arial"/>
      <w:lang w:val="x-none" w:eastAsia="en-US"/>
    </w:rPr>
  </w:style>
  <w:style w:type="character" w:customStyle="1" w:styleId="BalloonTextChar">
    <w:name w:val="Balloon Text Char"/>
    <w:link w:val="BalloonText"/>
    <w:locked/>
    <w:rsid w:val="00F6110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D3505"/>
    <w:pPr>
      <w:widowControl/>
      <w:ind w:left="720"/>
    </w:pPr>
    <w:rPr>
      <w:rFonts w:ascii="Arial" w:hAnsi="Arial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F357-1829-4F28-A93D-AC57AAD69B16}"/>
</file>

<file path=customXml/itemProps2.xml><?xml version="1.0" encoding="utf-8"?>
<ds:datastoreItem xmlns:ds="http://schemas.openxmlformats.org/officeDocument/2006/customXml" ds:itemID="{E9043ADD-C06F-4944-BF60-7DA6562D1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7D768-CF25-48FB-AD43-B691F1898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F0A6D-A644-41DA-B8C8-62608344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Association Management</dc:creator>
  <cp:lastModifiedBy>Isabelle Etheridge</cp:lastModifiedBy>
  <cp:revision>2</cp:revision>
  <cp:lastPrinted>2014-06-26T14:20:00Z</cp:lastPrinted>
  <dcterms:created xsi:type="dcterms:W3CDTF">2017-04-19T12:57:00Z</dcterms:created>
  <dcterms:modified xsi:type="dcterms:W3CDTF">2017-04-19T12:57:00Z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