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57B" w:rsidRPr="007E1D11" w:rsidRDefault="007E1D11" w:rsidP="0031484A">
      <w:pPr>
        <w:spacing w:after="0" w:line="240" w:lineRule="auto"/>
        <w:jc w:val="both"/>
        <w:rPr>
          <w:b/>
          <w:u w:val="single"/>
        </w:rPr>
      </w:pPr>
      <w:r w:rsidRPr="007E1D11">
        <w:rPr>
          <w:b/>
          <w:u w:val="single"/>
        </w:rPr>
        <w:t>Eurocode 2 – Structural Capacity Check</w:t>
      </w:r>
    </w:p>
    <w:p w:rsidR="007E1D11" w:rsidRDefault="007E1D11" w:rsidP="0031484A">
      <w:pPr>
        <w:spacing w:after="0" w:line="240" w:lineRule="auto"/>
        <w:jc w:val="both"/>
      </w:pPr>
    </w:p>
    <w:p w:rsidR="007E1D11" w:rsidRDefault="007E1D11" w:rsidP="0031484A">
      <w:pPr>
        <w:spacing w:after="0" w:line="240" w:lineRule="auto"/>
        <w:jc w:val="both"/>
      </w:pPr>
      <w:r w:rsidRPr="00F132C8">
        <w:rPr>
          <w:b/>
        </w:rPr>
        <w:t>BS EN 1992-1-1:2004</w:t>
      </w:r>
      <w:r w:rsidR="0004476B">
        <w:t xml:space="preserve"> c</w:t>
      </w:r>
      <w:r>
        <w:t>lause 3.1.6 outlines calculation of concrete compressive strength as follows:</w:t>
      </w:r>
    </w:p>
    <w:p w:rsidR="007E1D11" w:rsidRDefault="007E1D11" w:rsidP="00161832">
      <w:pPr>
        <w:spacing w:after="0" w:line="240" w:lineRule="auto"/>
        <w:jc w:val="both"/>
      </w:pPr>
    </w:p>
    <w:p w:rsidR="007E1D11" w:rsidRDefault="007E1D11" w:rsidP="00161832">
      <w:pPr>
        <w:spacing w:after="0" w:line="240" w:lineRule="auto"/>
        <w:jc w:val="both"/>
      </w:pPr>
      <w:r w:rsidRPr="007E1D11">
        <w:rPr>
          <w:noProof/>
          <w:lang w:eastAsia="en-GB"/>
        </w:rPr>
        <w:drawing>
          <wp:inline distT="0" distB="0" distL="0" distR="0" wp14:anchorId="1CAE92EE" wp14:editId="70478169">
            <wp:extent cx="5731510" cy="3480545"/>
            <wp:effectExtent l="19050" t="19050" r="21590" b="247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731510" cy="3480545"/>
                    </a:xfrm>
                    <a:prstGeom prst="rect">
                      <a:avLst/>
                    </a:prstGeom>
                    <a:ln>
                      <a:solidFill>
                        <a:schemeClr val="tx1"/>
                      </a:solidFill>
                      <a:prstDash val="solid"/>
                    </a:ln>
                  </pic:spPr>
                </pic:pic>
              </a:graphicData>
            </a:graphic>
          </wp:inline>
        </w:drawing>
      </w:r>
    </w:p>
    <w:p w:rsidR="007E1D11" w:rsidRDefault="007E1D11" w:rsidP="00161832">
      <w:pPr>
        <w:spacing w:after="0" w:line="240" w:lineRule="auto"/>
        <w:jc w:val="both"/>
      </w:pPr>
    </w:p>
    <w:p w:rsidR="00FF5DB1" w:rsidRDefault="00FF5DB1" w:rsidP="00161832">
      <w:pPr>
        <w:spacing w:after="0" w:line="240" w:lineRule="auto"/>
        <w:jc w:val="both"/>
      </w:pPr>
      <w:r>
        <w:t>Where</w:t>
      </w:r>
      <w:r>
        <w:tab/>
      </w:r>
      <w:proofErr w:type="spellStart"/>
      <w:r>
        <w:t>γ</w:t>
      </w:r>
      <w:r w:rsidRPr="00FF5DB1">
        <w:rPr>
          <w:vertAlign w:val="subscript"/>
        </w:rPr>
        <w:t>c</w:t>
      </w:r>
      <w:proofErr w:type="spellEnd"/>
      <w:r>
        <w:t xml:space="preserve"> = 1.5 (for permanent and transient actions)</w:t>
      </w:r>
    </w:p>
    <w:p w:rsidR="00FF5DB1" w:rsidRDefault="00FF5DB1" w:rsidP="00161832">
      <w:pPr>
        <w:spacing w:after="0" w:line="240" w:lineRule="auto"/>
        <w:jc w:val="both"/>
      </w:pPr>
      <w:r>
        <w:tab/>
      </w:r>
      <w:proofErr w:type="spellStart"/>
      <w:r>
        <w:t>K</w:t>
      </w:r>
      <w:r w:rsidRPr="00FF5DB1">
        <w:rPr>
          <w:vertAlign w:val="subscript"/>
        </w:rPr>
        <w:t>f</w:t>
      </w:r>
      <w:proofErr w:type="spellEnd"/>
      <w:r w:rsidRPr="00FF5DB1">
        <w:rPr>
          <w:vertAlign w:val="subscript"/>
        </w:rPr>
        <w:t xml:space="preserve"> </w:t>
      </w:r>
      <w:r>
        <w:t>= 1.1 (for cast in-situ piles without permanent casing)</w:t>
      </w:r>
    </w:p>
    <w:p w:rsidR="00FF5DB1" w:rsidRDefault="00FF5DB1" w:rsidP="00161832">
      <w:pPr>
        <w:spacing w:after="0" w:line="240" w:lineRule="auto"/>
        <w:ind w:left="720"/>
        <w:jc w:val="both"/>
      </w:pPr>
      <w:proofErr w:type="gramStart"/>
      <w:r>
        <w:t>α</w:t>
      </w:r>
      <w:r w:rsidRPr="007E1D11">
        <w:rPr>
          <w:vertAlign w:val="subscript"/>
        </w:rPr>
        <w:t>cc</w:t>
      </w:r>
      <w:proofErr w:type="gramEnd"/>
      <w:r>
        <w:rPr>
          <w:vertAlign w:val="subscript"/>
        </w:rPr>
        <w:t xml:space="preserve"> </w:t>
      </w:r>
      <w:r w:rsidR="00CE15E0">
        <w:t xml:space="preserve">= </w:t>
      </w:r>
      <w:r w:rsidR="007E1D11">
        <w:t>“should lie between 0.8 and 1.0 and may be found in its National Annex”</w:t>
      </w:r>
      <w:r w:rsidR="00CE15E0">
        <w:t>. UK NA confirms “may be taken conservatively as 0.85 for all phenomena</w:t>
      </w:r>
    </w:p>
    <w:p w:rsidR="00CE15E0" w:rsidRDefault="00CE15E0" w:rsidP="00161832">
      <w:pPr>
        <w:spacing w:after="0" w:line="240" w:lineRule="auto"/>
        <w:ind w:left="720"/>
        <w:jc w:val="both"/>
      </w:pPr>
      <w:proofErr w:type="gramStart"/>
      <w:r>
        <w:t>α</w:t>
      </w:r>
      <w:proofErr w:type="spellStart"/>
      <w:r w:rsidRPr="007E1D11">
        <w:rPr>
          <w:vertAlign w:val="subscript"/>
        </w:rPr>
        <w:t>c</w:t>
      </w:r>
      <w:r>
        <w:rPr>
          <w:vertAlign w:val="subscript"/>
        </w:rPr>
        <w:t>t</w:t>
      </w:r>
      <w:proofErr w:type="spellEnd"/>
      <w:proofErr w:type="gramEnd"/>
      <w:r>
        <w:rPr>
          <w:vertAlign w:val="subscript"/>
        </w:rPr>
        <w:t xml:space="preserve"> </w:t>
      </w:r>
      <w:r>
        <w:t>= 1.0</w:t>
      </w:r>
    </w:p>
    <w:p w:rsidR="00CE15E0" w:rsidRDefault="00CE15E0" w:rsidP="00161832">
      <w:pPr>
        <w:spacing w:after="0" w:line="240" w:lineRule="auto"/>
        <w:jc w:val="both"/>
      </w:pPr>
    </w:p>
    <w:p w:rsidR="0004476B" w:rsidRDefault="004F1F75" w:rsidP="00161832">
      <w:pPr>
        <w:spacing w:after="0" w:line="240" w:lineRule="auto"/>
        <w:jc w:val="both"/>
      </w:pPr>
      <w:r>
        <w:t>Looking at a comparative case for a 600mm diameter pile constructed using C32/40N concrete, the following</w:t>
      </w:r>
      <w:r w:rsidR="000756C5">
        <w:t xml:space="preserve"> SLS capacities </w:t>
      </w:r>
      <w:r>
        <w:t xml:space="preserve"> are calculated:</w:t>
      </w:r>
      <w:r>
        <w:tab/>
      </w:r>
      <w:r w:rsidR="00CE388D">
        <w:t xml:space="preserve">BS8004 (1986) </w:t>
      </w:r>
      <w:r w:rsidR="00CE388D">
        <w:tab/>
      </w:r>
      <w:r w:rsidR="0004476B">
        <w:t xml:space="preserve">= </w:t>
      </w:r>
      <w:r w:rsidR="00DE64B9">
        <w:t>2,827</w:t>
      </w:r>
      <w:r w:rsidR="0004476B">
        <w:t>kN</w:t>
      </w:r>
    </w:p>
    <w:p w:rsidR="0004476B" w:rsidRDefault="0004476B" w:rsidP="000756C5">
      <w:pPr>
        <w:spacing w:after="0" w:line="240" w:lineRule="auto"/>
        <w:ind w:left="2880" w:firstLine="720"/>
        <w:jc w:val="both"/>
      </w:pPr>
      <w:r>
        <w:t>EC2 (α</w:t>
      </w:r>
      <w:r w:rsidRPr="007E1D11">
        <w:rPr>
          <w:vertAlign w:val="subscript"/>
        </w:rPr>
        <w:t>cc</w:t>
      </w:r>
      <w:r>
        <w:rPr>
          <w:vertAlign w:val="subscript"/>
        </w:rPr>
        <w:t xml:space="preserve"> </w:t>
      </w:r>
      <w:r>
        <w:t>=0.85)</w:t>
      </w:r>
      <w:r w:rsidR="00DE64B9">
        <w:tab/>
      </w:r>
      <w:r>
        <w:t xml:space="preserve">= </w:t>
      </w:r>
      <w:r w:rsidR="00DE64B9">
        <w:t>3,376</w:t>
      </w:r>
      <w:r>
        <w:t>kN (</w:t>
      </w:r>
      <w:r w:rsidR="00641177">
        <w:t>assuming 80/20 perm/</w:t>
      </w:r>
      <w:proofErr w:type="spellStart"/>
      <w:r w:rsidR="00641177">
        <w:t>var</w:t>
      </w:r>
      <w:proofErr w:type="spellEnd"/>
      <w:r w:rsidR="00641177">
        <w:t xml:space="preserve"> split)</w:t>
      </w:r>
    </w:p>
    <w:p w:rsidR="00641177" w:rsidRDefault="00641177" w:rsidP="00161832">
      <w:pPr>
        <w:spacing w:after="0" w:line="240" w:lineRule="auto"/>
        <w:jc w:val="both"/>
      </w:pPr>
    </w:p>
    <w:p w:rsidR="00641177" w:rsidRDefault="00641177" w:rsidP="00161832">
      <w:pPr>
        <w:spacing w:after="0" w:line="240" w:lineRule="auto"/>
        <w:jc w:val="both"/>
      </w:pPr>
      <w:r>
        <w:t>Th</w:t>
      </w:r>
      <w:r w:rsidR="00C9546E">
        <w:t>e EC2 capacity with α</w:t>
      </w:r>
      <w:r w:rsidR="00C9546E" w:rsidRPr="007E1D11">
        <w:rPr>
          <w:vertAlign w:val="subscript"/>
        </w:rPr>
        <w:t>cc</w:t>
      </w:r>
      <w:r w:rsidR="00C9546E">
        <w:rPr>
          <w:vertAlign w:val="subscript"/>
        </w:rPr>
        <w:t xml:space="preserve"> </w:t>
      </w:r>
      <w:r w:rsidR="00C9546E">
        <w:t xml:space="preserve">=0.85 </w:t>
      </w:r>
      <w:r>
        <w:t>equate</w:t>
      </w:r>
      <w:r w:rsidR="00C9546E">
        <w:t>s</w:t>
      </w:r>
      <w:r>
        <w:t xml:space="preserve"> to a 19% increase</w:t>
      </w:r>
      <w:r w:rsidR="00C9546E">
        <w:t xml:space="preserve"> compared to BS8004 (1986)</w:t>
      </w:r>
      <w:r w:rsidR="00C65ECE">
        <w:t>, equivalent to approximately 0.3f</w:t>
      </w:r>
      <w:r w:rsidR="00C65ECE" w:rsidRPr="00C65ECE">
        <w:rPr>
          <w:vertAlign w:val="subscript"/>
        </w:rPr>
        <w:t>cu</w:t>
      </w:r>
      <w:r w:rsidR="00C65ECE">
        <w:t>.</w:t>
      </w:r>
    </w:p>
    <w:p w:rsidR="0004476B" w:rsidRDefault="0004476B" w:rsidP="00161832">
      <w:pPr>
        <w:spacing w:after="0" w:line="240" w:lineRule="auto"/>
        <w:jc w:val="both"/>
      </w:pPr>
    </w:p>
    <w:p w:rsidR="00F132C8" w:rsidRDefault="00F132C8" w:rsidP="00161832">
      <w:pPr>
        <w:spacing w:after="0" w:line="240" w:lineRule="auto"/>
        <w:jc w:val="both"/>
      </w:pPr>
    </w:p>
    <w:p w:rsidR="00F132C8" w:rsidRDefault="0004476B" w:rsidP="00161832">
      <w:pPr>
        <w:spacing w:after="0" w:line="240" w:lineRule="auto"/>
        <w:jc w:val="both"/>
      </w:pPr>
      <w:r w:rsidRPr="000A63B5">
        <w:rPr>
          <w:b/>
        </w:rPr>
        <w:t>The Concrete Centre</w:t>
      </w:r>
      <w:r>
        <w:t xml:space="preserve"> </w:t>
      </w:r>
      <w:r w:rsidR="000A63B5">
        <w:t xml:space="preserve">(in correspondence) </w:t>
      </w:r>
      <w:r>
        <w:t>point to</w:t>
      </w:r>
      <w:r w:rsidR="00F132C8">
        <w:t xml:space="preserve"> clause 9.2.1.1(2) and conclude that unreinforced piles should be considered as plain concrete and designed in accordance with Section 12.</w:t>
      </w:r>
    </w:p>
    <w:p w:rsidR="0004476B" w:rsidRDefault="0004476B" w:rsidP="00161832">
      <w:pPr>
        <w:spacing w:after="0" w:line="240" w:lineRule="auto"/>
        <w:jc w:val="both"/>
      </w:pPr>
      <w:r w:rsidRPr="0004476B">
        <w:rPr>
          <w:noProof/>
          <w:lang w:eastAsia="en-GB"/>
        </w:rPr>
        <w:drawing>
          <wp:inline distT="0" distB="0" distL="0" distR="0" wp14:anchorId="023C87E5" wp14:editId="6735FB22">
            <wp:extent cx="5731510" cy="495384"/>
            <wp:effectExtent l="19050" t="19050" r="21590"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31510" cy="495384"/>
                    </a:xfrm>
                    <a:prstGeom prst="rect">
                      <a:avLst/>
                    </a:prstGeom>
                    <a:ln>
                      <a:solidFill>
                        <a:schemeClr val="tx1"/>
                      </a:solidFill>
                    </a:ln>
                  </pic:spPr>
                </pic:pic>
              </a:graphicData>
            </a:graphic>
          </wp:inline>
        </w:drawing>
      </w:r>
    </w:p>
    <w:p w:rsidR="0004476B" w:rsidRDefault="0004476B" w:rsidP="00161832">
      <w:pPr>
        <w:spacing w:after="0" w:line="240" w:lineRule="auto"/>
        <w:jc w:val="both"/>
      </w:pPr>
    </w:p>
    <w:p w:rsidR="00B60230" w:rsidRDefault="00B60230" w:rsidP="00161832">
      <w:pPr>
        <w:spacing w:after="0" w:line="240" w:lineRule="auto"/>
        <w:jc w:val="both"/>
      </w:pPr>
      <w:r>
        <w:t>Sectio</w:t>
      </w:r>
      <w:r w:rsidR="000A63B5">
        <w:t>n 9.2 is for beams, so not specific to piles however Section 9.8.5 Bored Piles does contain the following clause:</w:t>
      </w:r>
    </w:p>
    <w:p w:rsidR="000A63B5" w:rsidRDefault="000A63B5" w:rsidP="00161832">
      <w:pPr>
        <w:spacing w:after="0" w:line="240" w:lineRule="auto"/>
        <w:jc w:val="both"/>
      </w:pPr>
      <w:r>
        <w:rPr>
          <w:noProof/>
          <w:lang w:eastAsia="en-GB"/>
        </w:rPr>
        <w:drawing>
          <wp:inline distT="0" distB="0" distL="0" distR="0" wp14:anchorId="09CF8B13" wp14:editId="616CD64A">
            <wp:extent cx="5731510" cy="443335"/>
            <wp:effectExtent l="19050" t="19050" r="21590" b="139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31510" cy="443335"/>
                    </a:xfrm>
                    <a:prstGeom prst="rect">
                      <a:avLst/>
                    </a:prstGeom>
                    <a:ln>
                      <a:solidFill>
                        <a:schemeClr val="tx1"/>
                      </a:solidFill>
                    </a:ln>
                  </pic:spPr>
                </pic:pic>
              </a:graphicData>
            </a:graphic>
          </wp:inline>
        </w:drawing>
      </w:r>
    </w:p>
    <w:p w:rsidR="00B60230" w:rsidRDefault="00B60230" w:rsidP="00161832">
      <w:pPr>
        <w:spacing w:after="0" w:line="240" w:lineRule="auto"/>
        <w:jc w:val="both"/>
      </w:pPr>
    </w:p>
    <w:p w:rsidR="000A63B5" w:rsidRDefault="000A63B5" w:rsidP="00161832">
      <w:pPr>
        <w:spacing w:after="0" w:line="240" w:lineRule="auto"/>
        <w:jc w:val="both"/>
      </w:pPr>
    </w:p>
    <w:p w:rsidR="00CE388D" w:rsidRDefault="00292185" w:rsidP="00161832">
      <w:pPr>
        <w:spacing w:after="0" w:line="240" w:lineRule="auto"/>
        <w:jc w:val="both"/>
      </w:pPr>
      <w:r>
        <w:t>U</w:t>
      </w:r>
      <w:r w:rsidR="00CE388D">
        <w:t>nder BS8004 (1986)</w:t>
      </w:r>
      <w:r>
        <w:t xml:space="preserve"> the presence of reinforcement did not change the calculation of </w:t>
      </w:r>
      <w:r w:rsidR="00CE388D" w:rsidRPr="00292185">
        <w:t>limiting compressive stress</w:t>
      </w:r>
      <w:r>
        <w:t xml:space="preserve">. </w:t>
      </w:r>
      <w:r w:rsidR="00CE388D">
        <w:t>It also noted that “the allowable compressive stress may be increased at the discretion of the engineer”.</w:t>
      </w:r>
    </w:p>
    <w:p w:rsidR="0031484A" w:rsidRDefault="0031484A" w:rsidP="00161832">
      <w:pPr>
        <w:spacing w:after="0" w:line="240" w:lineRule="auto"/>
        <w:jc w:val="both"/>
      </w:pPr>
    </w:p>
    <w:p w:rsidR="00F132C8" w:rsidRDefault="00F132C8" w:rsidP="00161832">
      <w:pPr>
        <w:spacing w:after="0" w:line="240" w:lineRule="auto"/>
        <w:jc w:val="both"/>
      </w:pPr>
    </w:p>
    <w:p w:rsidR="007E1D11" w:rsidRDefault="00F132C8" w:rsidP="00161832">
      <w:pPr>
        <w:spacing w:after="0" w:line="240" w:lineRule="auto"/>
        <w:jc w:val="both"/>
      </w:pPr>
      <w:r w:rsidRPr="00F132C8">
        <w:rPr>
          <w:b/>
        </w:rPr>
        <w:t>BS EN 1992-1-1:2004</w:t>
      </w:r>
      <w:r>
        <w:rPr>
          <w:b/>
        </w:rPr>
        <w:t xml:space="preserve"> </w:t>
      </w:r>
      <w:r w:rsidR="0004476B" w:rsidRPr="00F132C8">
        <w:rPr>
          <w:b/>
        </w:rPr>
        <w:t>Section 12</w:t>
      </w:r>
      <w:r w:rsidR="0004476B">
        <w:t xml:space="preserve"> – Plain and lightly reinforced concrete structures</w:t>
      </w:r>
    </w:p>
    <w:p w:rsidR="000756C5" w:rsidRDefault="000756C5" w:rsidP="00161832">
      <w:pPr>
        <w:spacing w:after="0" w:line="240" w:lineRule="auto"/>
        <w:jc w:val="both"/>
      </w:pPr>
      <w:r>
        <w:t>Cl. 12.3.1</w:t>
      </w:r>
    </w:p>
    <w:p w:rsidR="00C65ECE" w:rsidRDefault="00C65ECE" w:rsidP="00161832">
      <w:pPr>
        <w:spacing w:after="0" w:line="240" w:lineRule="auto"/>
        <w:jc w:val="both"/>
      </w:pPr>
    </w:p>
    <w:p w:rsidR="0046671D" w:rsidRDefault="0046671D" w:rsidP="00161832">
      <w:pPr>
        <w:spacing w:after="0" w:line="240" w:lineRule="auto"/>
        <w:jc w:val="both"/>
      </w:pPr>
      <w:r w:rsidRPr="0046671D">
        <w:rPr>
          <w:noProof/>
          <w:lang w:eastAsia="en-GB"/>
        </w:rPr>
        <w:drawing>
          <wp:inline distT="0" distB="0" distL="0" distR="0" wp14:anchorId="26349C33" wp14:editId="4B592A4B">
            <wp:extent cx="5731510" cy="831559"/>
            <wp:effectExtent l="19050" t="19050" r="21590" b="260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31510" cy="831559"/>
                    </a:xfrm>
                    <a:prstGeom prst="rect">
                      <a:avLst/>
                    </a:prstGeom>
                    <a:ln>
                      <a:solidFill>
                        <a:schemeClr val="tx1"/>
                      </a:solidFill>
                    </a:ln>
                  </pic:spPr>
                </pic:pic>
              </a:graphicData>
            </a:graphic>
          </wp:inline>
        </w:drawing>
      </w:r>
    </w:p>
    <w:p w:rsidR="007E1D11" w:rsidRDefault="007E1D11" w:rsidP="00161832">
      <w:pPr>
        <w:spacing w:after="0" w:line="240" w:lineRule="auto"/>
        <w:jc w:val="both"/>
      </w:pPr>
    </w:p>
    <w:p w:rsidR="0046671D" w:rsidRPr="0046671D" w:rsidRDefault="00752844" w:rsidP="00161832">
      <w:pPr>
        <w:spacing w:after="0" w:line="240" w:lineRule="auto"/>
        <w:jc w:val="both"/>
      </w:pPr>
      <w:r>
        <w:t>Note the recommended value of 0.8 within base code</w:t>
      </w:r>
      <w:r w:rsidR="000A63B5">
        <w:t xml:space="preserve"> compared to α</w:t>
      </w:r>
      <w:r w:rsidR="000A63B5">
        <w:rPr>
          <w:vertAlign w:val="subscript"/>
        </w:rPr>
        <w:t>cc</w:t>
      </w:r>
      <w:r w:rsidR="000A63B5">
        <w:t xml:space="preserve"> and α</w:t>
      </w:r>
      <w:proofErr w:type="spellStart"/>
      <w:r w:rsidR="000A63B5">
        <w:rPr>
          <w:vertAlign w:val="subscript"/>
        </w:rPr>
        <w:t>ct</w:t>
      </w:r>
      <w:proofErr w:type="spellEnd"/>
      <w:r w:rsidR="000A63B5">
        <w:t xml:space="preserve"> = 1.0</w:t>
      </w:r>
      <w:r>
        <w:t xml:space="preserve">. </w:t>
      </w:r>
      <w:r w:rsidR="0046671D">
        <w:t>The UK NA states α</w:t>
      </w:r>
      <w:proofErr w:type="spellStart"/>
      <w:r w:rsidR="0046671D">
        <w:rPr>
          <w:vertAlign w:val="subscript"/>
        </w:rPr>
        <w:t>cc,pl</w:t>
      </w:r>
      <w:proofErr w:type="spellEnd"/>
      <w:r w:rsidR="0046671D">
        <w:rPr>
          <w:vertAlign w:val="subscript"/>
        </w:rPr>
        <w:t xml:space="preserve"> </w:t>
      </w:r>
      <w:r w:rsidR="0046671D">
        <w:t>= 0.6 and α</w:t>
      </w:r>
      <w:proofErr w:type="spellStart"/>
      <w:r w:rsidR="0046671D">
        <w:rPr>
          <w:vertAlign w:val="subscript"/>
        </w:rPr>
        <w:t>ct,pl</w:t>
      </w:r>
      <w:proofErr w:type="spellEnd"/>
      <w:r w:rsidR="0046671D">
        <w:t xml:space="preserve"> = 0.8</w:t>
      </w:r>
      <w:r w:rsidR="0012576F">
        <w:t>.</w:t>
      </w:r>
    </w:p>
    <w:p w:rsidR="0046671D" w:rsidRDefault="0046671D" w:rsidP="00161832">
      <w:pPr>
        <w:spacing w:after="0" w:line="240" w:lineRule="auto"/>
        <w:jc w:val="both"/>
      </w:pPr>
    </w:p>
    <w:p w:rsidR="0046671D" w:rsidRDefault="0046671D" w:rsidP="00161832">
      <w:pPr>
        <w:spacing w:after="0" w:line="240" w:lineRule="auto"/>
        <w:jc w:val="both"/>
      </w:pPr>
      <w:r>
        <w:t>Looking at a comparative case for a 600mm diameter pile constructed using C32/40N concrete, the following are calculated:</w:t>
      </w:r>
      <w:r>
        <w:tab/>
        <w:t>BS8</w:t>
      </w:r>
      <w:r w:rsidR="00CE388D">
        <w:t>004 (1986)</w:t>
      </w:r>
      <w:r>
        <w:tab/>
        <w:t>= 2,827kN</w:t>
      </w:r>
    </w:p>
    <w:p w:rsidR="0046671D" w:rsidRDefault="0046671D" w:rsidP="00161832">
      <w:pPr>
        <w:spacing w:after="0" w:line="240" w:lineRule="auto"/>
        <w:ind w:left="2160" w:firstLine="720"/>
        <w:jc w:val="both"/>
      </w:pPr>
      <w:r>
        <w:t>EC2 (α</w:t>
      </w:r>
      <w:r w:rsidRPr="007E1D11">
        <w:rPr>
          <w:vertAlign w:val="subscript"/>
        </w:rPr>
        <w:t>cc</w:t>
      </w:r>
      <w:r>
        <w:rPr>
          <w:vertAlign w:val="subscript"/>
        </w:rPr>
        <w:t xml:space="preserve"> </w:t>
      </w:r>
      <w:r>
        <w:t>=0.6)</w:t>
      </w:r>
      <w:r>
        <w:tab/>
        <w:t>= 2,</w:t>
      </w:r>
      <w:r w:rsidR="000756C5">
        <w:t>386</w:t>
      </w:r>
      <w:r>
        <w:t>kN (assuming 80/20 perm/</w:t>
      </w:r>
      <w:proofErr w:type="spellStart"/>
      <w:r>
        <w:t>var</w:t>
      </w:r>
      <w:proofErr w:type="spellEnd"/>
      <w:r>
        <w:t xml:space="preserve"> split)</w:t>
      </w:r>
    </w:p>
    <w:p w:rsidR="00571CD4" w:rsidRDefault="00571CD4" w:rsidP="00161832">
      <w:pPr>
        <w:spacing w:after="0" w:line="240" w:lineRule="auto"/>
        <w:ind w:left="2160" w:firstLine="720"/>
        <w:jc w:val="both"/>
      </w:pPr>
    </w:p>
    <w:p w:rsidR="00571CD4" w:rsidRDefault="00C9546E" w:rsidP="00571CD4">
      <w:pPr>
        <w:spacing w:after="0" w:line="240" w:lineRule="auto"/>
        <w:jc w:val="both"/>
      </w:pPr>
      <w:r>
        <w:t>The EC2 capacity using α</w:t>
      </w:r>
      <w:r w:rsidRPr="007E1D11">
        <w:rPr>
          <w:vertAlign w:val="subscript"/>
        </w:rPr>
        <w:t>cc</w:t>
      </w:r>
      <w:r>
        <w:rPr>
          <w:vertAlign w:val="subscript"/>
        </w:rPr>
        <w:t xml:space="preserve"> </w:t>
      </w:r>
      <w:r>
        <w:t xml:space="preserve">=0.6 </w:t>
      </w:r>
      <w:r w:rsidR="00571CD4">
        <w:t>equate</w:t>
      </w:r>
      <w:r>
        <w:t xml:space="preserve">s to a </w:t>
      </w:r>
      <w:r w:rsidR="000756C5">
        <w:t>16</w:t>
      </w:r>
      <w:r>
        <w:t>% decrease compared to BS8004 (1986), e</w:t>
      </w:r>
      <w:r w:rsidR="00571CD4">
        <w:t>quivalent to approximately 0.2f</w:t>
      </w:r>
      <w:r w:rsidR="00571CD4" w:rsidRPr="00C65ECE">
        <w:rPr>
          <w:vertAlign w:val="subscript"/>
        </w:rPr>
        <w:t>cu</w:t>
      </w:r>
      <w:r w:rsidR="00571CD4">
        <w:t>.</w:t>
      </w:r>
    </w:p>
    <w:p w:rsidR="00571CD4" w:rsidRDefault="00571CD4" w:rsidP="00571CD4">
      <w:pPr>
        <w:spacing w:after="0" w:line="240" w:lineRule="auto"/>
        <w:jc w:val="both"/>
      </w:pPr>
    </w:p>
    <w:p w:rsidR="00292185" w:rsidRDefault="00292185" w:rsidP="00571CD4">
      <w:pPr>
        <w:spacing w:after="0" w:line="240" w:lineRule="auto"/>
        <w:jc w:val="both"/>
      </w:pPr>
    </w:p>
    <w:p w:rsidR="00F132C8" w:rsidRPr="002D7511" w:rsidRDefault="002D7511" w:rsidP="002D7511">
      <w:pPr>
        <w:spacing w:after="0" w:line="240" w:lineRule="auto"/>
        <w:jc w:val="both"/>
      </w:pPr>
      <w:r>
        <w:rPr>
          <w:b/>
        </w:rPr>
        <w:t>PD 6687-1</w:t>
      </w:r>
      <w:r w:rsidRPr="00F132C8">
        <w:rPr>
          <w:b/>
        </w:rPr>
        <w:t>:2</w:t>
      </w:r>
      <w:r>
        <w:rPr>
          <w:b/>
        </w:rPr>
        <w:t>010</w:t>
      </w:r>
      <w:r>
        <w:t xml:space="preserve"> discusses derivation of UK NA α</w:t>
      </w:r>
      <w:r w:rsidRPr="007E1D11">
        <w:rPr>
          <w:vertAlign w:val="subscript"/>
        </w:rPr>
        <w:t>cc</w:t>
      </w:r>
      <w:r>
        <w:rPr>
          <w:vertAlign w:val="subscript"/>
        </w:rPr>
        <w:t xml:space="preserve"> </w:t>
      </w:r>
      <w:r>
        <w:t>=0.85 however Section 12 is not considered.</w:t>
      </w:r>
    </w:p>
    <w:p w:rsidR="002D7511" w:rsidRDefault="002D7511" w:rsidP="00280973">
      <w:pPr>
        <w:spacing w:after="0" w:line="240" w:lineRule="auto"/>
      </w:pPr>
    </w:p>
    <w:p w:rsidR="00F132C8" w:rsidRDefault="00F132C8" w:rsidP="00571CD4">
      <w:pPr>
        <w:spacing w:after="0" w:line="240" w:lineRule="auto"/>
        <w:jc w:val="both"/>
      </w:pPr>
    </w:p>
    <w:p w:rsidR="00292185" w:rsidRPr="00292185" w:rsidRDefault="009A0FCF" w:rsidP="00571CD4">
      <w:pPr>
        <w:spacing w:after="0" w:line="240" w:lineRule="auto"/>
        <w:jc w:val="both"/>
        <w:rPr>
          <w:b/>
        </w:rPr>
      </w:pPr>
      <w:r>
        <w:rPr>
          <w:b/>
        </w:rPr>
        <w:t>Summary</w:t>
      </w:r>
    </w:p>
    <w:p w:rsidR="0019186E" w:rsidRDefault="00946AD6" w:rsidP="00161832">
      <w:pPr>
        <w:spacing w:after="0" w:line="240" w:lineRule="auto"/>
        <w:jc w:val="both"/>
      </w:pPr>
      <w:r>
        <w:t xml:space="preserve">Piles are generally reinforced over at least their upper portion of say 6m. Below this, dependant on </w:t>
      </w:r>
      <w:r w:rsidR="000756C5">
        <w:t xml:space="preserve">the </w:t>
      </w:r>
      <w:r>
        <w:t>loading condition, ground conditions and piling technique the pile section may</w:t>
      </w:r>
      <w:r w:rsidR="0019186E">
        <w:t xml:space="preserve"> or may not</w:t>
      </w:r>
      <w:r>
        <w:t xml:space="preserve"> be reinforced. It is common practice for CFA </w:t>
      </w:r>
      <w:r w:rsidR="0019186E">
        <w:t xml:space="preserve">or </w:t>
      </w:r>
      <w:r w:rsidR="00161832">
        <w:t xml:space="preserve">small diameter rotary bearing piles to have </w:t>
      </w:r>
      <w:r w:rsidR="0019186E">
        <w:t xml:space="preserve">unreinforced lengths of </w:t>
      </w:r>
      <w:r w:rsidR="00161832">
        <w:t>pe</w:t>
      </w:r>
      <w:r w:rsidR="0019186E">
        <w:t>rhaps 70-80% of the</w:t>
      </w:r>
      <w:r w:rsidR="0051484A">
        <w:t>ir total</w:t>
      </w:r>
      <w:r w:rsidR="0019186E">
        <w:t xml:space="preserve"> length</w:t>
      </w:r>
      <w:r w:rsidR="00161832">
        <w:t>.</w:t>
      </w:r>
    </w:p>
    <w:p w:rsidR="0019186E" w:rsidRDefault="0019186E" w:rsidP="00161832">
      <w:pPr>
        <w:spacing w:after="0" w:line="240" w:lineRule="auto"/>
        <w:jc w:val="both"/>
      </w:pPr>
    </w:p>
    <w:p w:rsidR="00946AD6" w:rsidRPr="0051484A" w:rsidRDefault="0019186E" w:rsidP="00161832">
      <w:pPr>
        <w:spacing w:after="0" w:line="240" w:lineRule="auto"/>
        <w:jc w:val="both"/>
      </w:pPr>
      <w:r w:rsidRPr="0019186E">
        <w:t>Adopting the lower α</w:t>
      </w:r>
      <w:r w:rsidRPr="0019186E">
        <w:rPr>
          <w:vertAlign w:val="subscript"/>
        </w:rPr>
        <w:t xml:space="preserve">cc </w:t>
      </w:r>
      <w:r w:rsidRPr="0019186E">
        <w:t xml:space="preserve">=0.6 value </w:t>
      </w:r>
      <w:r>
        <w:t>is</w:t>
      </w:r>
      <w:r w:rsidRPr="0019186E">
        <w:t xml:space="preserve"> onerous and would adversely affect design.</w:t>
      </w:r>
      <w:r w:rsidR="0051484A">
        <w:t xml:space="preserve"> It would also represent a retrograde step from historical practice within the UK. </w:t>
      </w:r>
      <w:r>
        <w:t>A</w:t>
      </w:r>
      <w:r w:rsidR="00922298">
        <w:t xml:space="preserve"> reduction in load within the pile could be considered based upon the shaft friction mobilised at a c</w:t>
      </w:r>
      <w:r>
        <w:t>ertain depth wit</w:t>
      </w:r>
      <w:r w:rsidR="0051484A">
        <w:t>hin the pile, however this approach lacks certainty and is somewhat cumbersome.</w:t>
      </w:r>
    </w:p>
    <w:p w:rsidR="0019186E" w:rsidRDefault="0019186E" w:rsidP="00161832">
      <w:pPr>
        <w:spacing w:after="0" w:line="240" w:lineRule="auto"/>
        <w:jc w:val="both"/>
      </w:pPr>
    </w:p>
    <w:p w:rsidR="00F3119D" w:rsidRDefault="00F3119D" w:rsidP="00161832">
      <w:pPr>
        <w:spacing w:after="0" w:line="240" w:lineRule="auto"/>
        <w:jc w:val="both"/>
      </w:pPr>
      <w:r>
        <w:t xml:space="preserve">The reference within EC2 to Section 12 in relation to pile design is not clear and no guidance is given to why these additional rules should apply. Justification for ignoring the requirements for plain concrete in relation to piles can be found in clause 12.1(2) as highlighted below. </w:t>
      </w:r>
    </w:p>
    <w:p w:rsidR="00F3119D" w:rsidRDefault="00F3119D" w:rsidP="00161832">
      <w:pPr>
        <w:spacing w:after="0" w:line="240" w:lineRule="auto"/>
        <w:jc w:val="both"/>
      </w:pPr>
    </w:p>
    <w:p w:rsidR="0019186E" w:rsidRPr="00FA6547" w:rsidRDefault="00F3119D" w:rsidP="00F3119D">
      <w:pPr>
        <w:spacing w:after="0" w:line="240" w:lineRule="auto"/>
        <w:jc w:val="center"/>
      </w:pPr>
      <w:r>
        <w:rPr>
          <w:noProof/>
          <w:lang w:eastAsia="en-GB"/>
        </w:rPr>
        <w:lastRenderedPageBreak/>
        <mc:AlternateContent>
          <mc:Choice Requires="wps">
            <w:drawing>
              <wp:anchor distT="0" distB="0" distL="114300" distR="114300" simplePos="0" relativeHeight="251661312" behindDoc="0" locked="0" layoutInCell="1" allowOverlap="1" wp14:anchorId="3E0F2059" wp14:editId="6558D590">
                <wp:simplePos x="0" y="0"/>
                <wp:positionH relativeFrom="column">
                  <wp:posOffset>628650</wp:posOffset>
                </wp:positionH>
                <wp:positionV relativeFrom="paragraph">
                  <wp:posOffset>2228850</wp:posOffset>
                </wp:positionV>
                <wp:extent cx="3219450" cy="171450"/>
                <wp:effectExtent l="0" t="0" r="0" b="0"/>
                <wp:wrapNone/>
                <wp:docPr id="8" name="Rectangle 8"/>
                <wp:cNvGraphicFramePr/>
                <a:graphic xmlns:a="http://schemas.openxmlformats.org/drawingml/2006/main">
                  <a:graphicData uri="http://schemas.microsoft.com/office/word/2010/wordprocessingShape">
                    <wps:wsp>
                      <wps:cNvSpPr/>
                      <wps:spPr>
                        <a:xfrm>
                          <a:off x="0" y="0"/>
                          <a:ext cx="3219450" cy="171450"/>
                        </a:xfrm>
                        <a:prstGeom prst="rect">
                          <a:avLst/>
                        </a:prstGeom>
                        <a:solidFill>
                          <a:srgbClr val="FF0000">
                            <a:alpha val="2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49.5pt;margin-top:175.5pt;width:253.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" fillcolor="red" stroked="f" strokeweight="2pt">
                <v:fill opacity="16448f"/>
              </v:rect>
            </w:pict>
          </mc:Fallback>
        </mc:AlternateContent>
      </w:r>
      <w:r>
        <w:rPr>
          <w:noProof/>
          <w:lang w:eastAsia="en-GB"/>
        </w:rPr>
        <mc:AlternateContent>
          <mc:Choice Requires="wps">
            <w:drawing>
              <wp:anchor distT="0" distB="0" distL="114300" distR="114300" simplePos="0" relativeHeight="251659264" behindDoc="0" locked="0" layoutInCell="1" allowOverlap="1" wp14:anchorId="41E7C172" wp14:editId="72F50D60">
                <wp:simplePos x="0" y="0"/>
                <wp:positionH relativeFrom="column">
                  <wp:posOffset>628650</wp:posOffset>
                </wp:positionH>
                <wp:positionV relativeFrom="paragraph">
                  <wp:posOffset>1704975</wp:posOffset>
                </wp:positionV>
                <wp:extent cx="2247900" cy="152400"/>
                <wp:effectExtent l="0" t="0" r="0" b="0"/>
                <wp:wrapNone/>
                <wp:docPr id="7" name="Rectangle 7"/>
                <wp:cNvGraphicFramePr/>
                <a:graphic xmlns:a="http://schemas.openxmlformats.org/drawingml/2006/main">
                  <a:graphicData uri="http://schemas.microsoft.com/office/word/2010/wordprocessingShape">
                    <wps:wsp>
                      <wps:cNvSpPr/>
                      <wps:spPr>
                        <a:xfrm>
                          <a:off x="0" y="0"/>
                          <a:ext cx="2247900" cy="152400"/>
                        </a:xfrm>
                        <a:prstGeom prst="rect">
                          <a:avLst/>
                        </a:prstGeom>
                        <a:solidFill>
                          <a:srgbClr val="FF0000">
                            <a:alpha val="2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49.5pt;margin-top:134.25pt;width:177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" fillcolor="red" stroked="f" strokeweight="2pt">
                <v:fill opacity="16448f"/>
              </v:rect>
            </w:pict>
          </mc:Fallback>
        </mc:AlternateContent>
      </w:r>
      <w:r>
        <w:rPr>
          <w:noProof/>
          <w:lang w:eastAsia="en-GB"/>
        </w:rPr>
        <w:drawing>
          <wp:inline distT="0" distB="0" distL="0" distR="0" wp14:anchorId="347A1584" wp14:editId="563F84D2">
            <wp:extent cx="5143500" cy="2452505"/>
            <wp:effectExtent l="19050" t="19050" r="19050" b="241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142248" cy="2451908"/>
                    </a:xfrm>
                    <a:prstGeom prst="rect">
                      <a:avLst/>
                    </a:prstGeom>
                    <a:ln>
                      <a:solidFill>
                        <a:schemeClr val="tx1"/>
                      </a:solidFill>
                    </a:ln>
                  </pic:spPr>
                </pic:pic>
              </a:graphicData>
            </a:graphic>
          </wp:inline>
        </w:drawing>
      </w:r>
    </w:p>
    <w:p w:rsidR="00FA6547" w:rsidRDefault="00FA6547" w:rsidP="00161832">
      <w:pPr>
        <w:spacing w:after="0" w:line="240" w:lineRule="auto"/>
        <w:jc w:val="both"/>
        <w:rPr>
          <w:color w:val="FF0000"/>
        </w:rPr>
      </w:pPr>
    </w:p>
    <w:p w:rsidR="00CF4BF8" w:rsidRPr="00571CD4" w:rsidRDefault="00CF4BF8" w:rsidP="00161832">
      <w:pPr>
        <w:spacing w:after="0" w:line="240" w:lineRule="auto"/>
        <w:jc w:val="both"/>
        <w:rPr>
          <w:color w:val="FF0000"/>
        </w:rPr>
      </w:pPr>
    </w:p>
    <w:p w:rsidR="0031484A" w:rsidRPr="00CF4BF8" w:rsidRDefault="0031484A" w:rsidP="009A0FCF">
      <w:pPr>
        <w:spacing w:after="0" w:line="240" w:lineRule="auto"/>
        <w:jc w:val="both"/>
      </w:pPr>
      <w:r w:rsidRPr="0051484A">
        <w:t>Current wording of FPS position paper is as follows:</w:t>
      </w:r>
    </w:p>
    <w:p w:rsidR="0031484A" w:rsidRDefault="0031484A" w:rsidP="00F3119D">
      <w:pPr>
        <w:spacing w:after="0" w:line="240" w:lineRule="auto"/>
        <w:jc w:val="center"/>
      </w:pPr>
      <w:r w:rsidRPr="0031484A">
        <w:rPr>
          <w:noProof/>
          <w:lang w:eastAsia="en-GB"/>
        </w:rPr>
        <w:drawing>
          <wp:inline distT="0" distB="0" distL="0" distR="0" wp14:anchorId="3AE476CD" wp14:editId="69AE6C1D">
            <wp:extent cx="5124450" cy="2195958"/>
            <wp:effectExtent l="19050" t="19050" r="19050" b="139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122180" cy="2194985"/>
                    </a:xfrm>
                    <a:prstGeom prst="rect">
                      <a:avLst/>
                    </a:prstGeom>
                    <a:ln>
                      <a:solidFill>
                        <a:schemeClr val="tx1"/>
                      </a:solidFill>
                    </a:ln>
                  </pic:spPr>
                </pic:pic>
              </a:graphicData>
            </a:graphic>
          </wp:inline>
        </w:drawing>
      </w:r>
    </w:p>
    <w:p w:rsidR="0031484A" w:rsidRPr="009A0FCF" w:rsidRDefault="0031484A" w:rsidP="009A0FCF">
      <w:pPr>
        <w:spacing w:after="0" w:line="240" w:lineRule="auto"/>
        <w:jc w:val="both"/>
      </w:pPr>
    </w:p>
    <w:p w:rsidR="00FA6547" w:rsidRDefault="00FA6547" w:rsidP="009A0FCF">
      <w:pPr>
        <w:spacing w:after="0" w:line="240" w:lineRule="auto"/>
        <w:jc w:val="both"/>
      </w:pPr>
    </w:p>
    <w:p w:rsidR="009A0FCF" w:rsidRPr="00FA6547" w:rsidRDefault="009A0FCF" w:rsidP="009A0FCF">
      <w:pPr>
        <w:spacing w:after="0" w:line="240" w:lineRule="auto"/>
        <w:jc w:val="both"/>
      </w:pPr>
      <w:r w:rsidRPr="009A0FCF">
        <w:t>Suggested revised wording:</w:t>
      </w:r>
    </w:p>
    <w:p w:rsidR="007E1D11" w:rsidRPr="00FA6547" w:rsidRDefault="009A0FCF" w:rsidP="009A0FCF">
      <w:pPr>
        <w:spacing w:after="0" w:line="240" w:lineRule="auto"/>
        <w:jc w:val="both"/>
      </w:pPr>
      <w:r w:rsidRPr="00FA6547">
        <w:t>Within the UK it is normal practice with pile design to reinforce the upper section of the pile to below the level of any b</w:t>
      </w:r>
      <w:r w:rsidR="00226679" w:rsidRPr="00FA6547">
        <w:t>ending moment or shear</w:t>
      </w:r>
      <w:r w:rsidRPr="00FA6547">
        <w:t>. Below this level, where the pile is acting purely in compression, reinforcement is curtailed.</w:t>
      </w:r>
    </w:p>
    <w:p w:rsidR="009A0FCF" w:rsidRPr="00FA6547" w:rsidRDefault="009A0FCF" w:rsidP="009A0FCF">
      <w:pPr>
        <w:spacing w:after="0" w:line="240" w:lineRule="auto"/>
        <w:jc w:val="both"/>
      </w:pPr>
    </w:p>
    <w:p w:rsidR="00FD4791" w:rsidRPr="00FA6547" w:rsidRDefault="009A0FCF" w:rsidP="009A0FCF">
      <w:pPr>
        <w:spacing w:after="0" w:line="240" w:lineRule="auto"/>
        <w:jc w:val="both"/>
      </w:pPr>
      <w:r w:rsidRPr="00FA6547">
        <w:t>The requirements of Section 12 within EC2 would impose a significant reduction in the designed compression capacity of the pile. This approach is onerous and introduces additional conservatism when compared to historical UK practice.</w:t>
      </w:r>
      <w:r w:rsidR="00FA6547" w:rsidRPr="00FA6547">
        <w:t xml:space="preserve"> It is the interpretation of FPS members that a</w:t>
      </w:r>
      <w:r w:rsidR="00FD4791" w:rsidRPr="00FA6547">
        <w:t xml:space="preserve">s a pile would be designed to be reinforced to the point at which it is in pure compression and confined </w:t>
      </w:r>
      <w:r w:rsidR="00226679" w:rsidRPr="00FA6547">
        <w:t>by the ground, the additional rules outl</w:t>
      </w:r>
      <w:r w:rsidR="00FA6547" w:rsidRPr="00FA6547">
        <w:t>ined within Section 12 are not</w:t>
      </w:r>
      <w:r w:rsidR="00226679" w:rsidRPr="00FA6547">
        <w:t xml:space="preserve"> appropriate</w:t>
      </w:r>
      <w:r w:rsidR="00F3119D">
        <w:t xml:space="preserve"> [see clause 12.1(2)]</w:t>
      </w:r>
      <w:r w:rsidR="00226679" w:rsidRPr="00FA6547">
        <w:t>.</w:t>
      </w:r>
    </w:p>
    <w:p w:rsidR="00FD4791" w:rsidRPr="00FA6547" w:rsidRDefault="00FD4791" w:rsidP="009A0FCF">
      <w:pPr>
        <w:spacing w:after="0" w:line="240" w:lineRule="auto"/>
        <w:jc w:val="both"/>
      </w:pPr>
    </w:p>
    <w:p w:rsidR="00CF4BF8" w:rsidRPr="00FA6547" w:rsidRDefault="00226679" w:rsidP="009A0FCF">
      <w:pPr>
        <w:spacing w:after="0" w:line="240" w:lineRule="auto"/>
        <w:jc w:val="both"/>
      </w:pPr>
      <w:r w:rsidRPr="00FA6547">
        <w:t xml:space="preserve">The FPS position is that </w:t>
      </w:r>
      <w:r w:rsidRPr="00FA6547">
        <w:t>any unreinforced section of pile below reinforcement designed to the level of any induced bending or shear may be designed to carry the full compressive capacity of the section in accordance with EC2 cl. 3.1.6.</w:t>
      </w:r>
      <w:bookmarkStart w:id="0" w:name="_GoBack"/>
      <w:bookmarkEnd w:id="0"/>
    </w:p>
    <w:sectPr w:rsidR="00CF4BF8" w:rsidRPr="00FA65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D11"/>
    <w:rsid w:val="000401A5"/>
    <w:rsid w:val="0004476B"/>
    <w:rsid w:val="000756C5"/>
    <w:rsid w:val="000A63B5"/>
    <w:rsid w:val="0012576F"/>
    <w:rsid w:val="00161832"/>
    <w:rsid w:val="0019186E"/>
    <w:rsid w:val="00226679"/>
    <w:rsid w:val="00280973"/>
    <w:rsid w:val="00292185"/>
    <w:rsid w:val="002D7511"/>
    <w:rsid w:val="0031484A"/>
    <w:rsid w:val="0046671D"/>
    <w:rsid w:val="004F1F75"/>
    <w:rsid w:val="0051484A"/>
    <w:rsid w:val="00571CD4"/>
    <w:rsid w:val="00641177"/>
    <w:rsid w:val="00752844"/>
    <w:rsid w:val="007E1D11"/>
    <w:rsid w:val="00922298"/>
    <w:rsid w:val="00946AD6"/>
    <w:rsid w:val="009A0FCF"/>
    <w:rsid w:val="009D78B2"/>
    <w:rsid w:val="00B60230"/>
    <w:rsid w:val="00C65ECE"/>
    <w:rsid w:val="00C8357B"/>
    <w:rsid w:val="00C9546E"/>
    <w:rsid w:val="00CC0FFD"/>
    <w:rsid w:val="00CE15E0"/>
    <w:rsid w:val="00CE388D"/>
    <w:rsid w:val="00CF4BF8"/>
    <w:rsid w:val="00DE64B9"/>
    <w:rsid w:val="00DF6DB9"/>
    <w:rsid w:val="00EF6E96"/>
    <w:rsid w:val="00F132C8"/>
    <w:rsid w:val="00F3119D"/>
    <w:rsid w:val="00FA6547"/>
    <w:rsid w:val="00FD4791"/>
    <w:rsid w:val="00FF5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1D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D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1D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D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B627B4ED5C1DB46BC813C8312892B51" ma:contentTypeVersion="9" ma:contentTypeDescription="Create a new document." ma:contentTypeScope="" ma:versionID="b315d0968cd764080bebf917bea415c3">
  <xsd:schema xmlns:xsd="http://www.w3.org/2001/XMLSchema" xmlns:xs="http://www.w3.org/2001/XMLSchema" xmlns:p="http://schemas.microsoft.com/office/2006/metadata/properties" xmlns:ns2="0d8abe9f-2342-4c77-9e5e-7c3cf2c8ee2e" xmlns:ns3="670eea12-9f60-46c6-83b5-8ad4e74c0ff6" targetNamespace="http://schemas.microsoft.com/office/2006/metadata/properties" ma:root="true" ma:fieldsID="6849313a479779f119d911ae57adf3c8" ns2:_="" ns3:_="">
    <xsd:import namespace="0d8abe9f-2342-4c77-9e5e-7c3cf2c8ee2e"/>
    <xsd:import namespace="670eea12-9f60-46c6-83b5-8ad4e74c0ff6"/>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abe9f-2342-4c77-9e5e-7c3cf2c8ee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70eea12-9f60-46c6-83b5-8ad4e74c0ff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DFDB20-2A72-4BBF-A105-034068E8BAD1}">
  <ds:schemaRefs>
    <ds:schemaRef ds:uri="http://schemas.openxmlformats.org/officeDocument/2006/bibliography"/>
  </ds:schemaRefs>
</ds:datastoreItem>
</file>

<file path=customXml/itemProps2.xml><?xml version="1.0" encoding="utf-8"?>
<ds:datastoreItem xmlns:ds="http://schemas.openxmlformats.org/officeDocument/2006/customXml" ds:itemID="{5787FFF8-47BE-401F-BBB5-7DAA8423AFE5}"/>
</file>

<file path=customXml/itemProps3.xml><?xml version="1.0" encoding="utf-8"?>
<ds:datastoreItem xmlns:ds="http://schemas.openxmlformats.org/officeDocument/2006/customXml" ds:itemID="{A0349141-7260-467E-98F3-A42EB2F3A7D0}"/>
</file>

<file path=customXml/itemProps4.xml><?xml version="1.0" encoding="utf-8"?>
<ds:datastoreItem xmlns:ds="http://schemas.openxmlformats.org/officeDocument/2006/customXml" ds:itemID="{3073E457-C1BA-4DAC-B74B-745C89E34FE4}"/>
</file>

<file path=docProps/app.xml><?xml version="1.0" encoding="utf-8"?>
<Properties xmlns="http://schemas.openxmlformats.org/officeDocument/2006/extended-properties" xmlns:vt="http://schemas.openxmlformats.org/officeDocument/2006/docPropsVTypes">
  <Template>Normal</Template>
  <TotalTime>201</TotalTime>
  <Pages>3</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Roy</dc:creator>
  <cp:lastModifiedBy>David Roy</cp:lastModifiedBy>
  <cp:revision>4</cp:revision>
  <dcterms:created xsi:type="dcterms:W3CDTF">2017-11-02T10:13:00Z</dcterms:created>
  <dcterms:modified xsi:type="dcterms:W3CDTF">2017-11-06T11:39:00Z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0x010100CB627B4ED5C1DB46BC813C8312892B51</vt:lpwstr>
  </property>
</Properties>
</file>