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012D" w14:textId="3E372E92" w:rsidR="00296F3A" w:rsidRPr="008D401B" w:rsidRDefault="00296F3A" w:rsidP="008D401B">
      <w:pPr>
        <w:pStyle w:val="Title"/>
      </w:pPr>
      <w:r>
        <w:t>Technical Note</w:t>
      </w:r>
    </w:p>
    <w:p w14:paraId="46A8230C" w14:textId="3CAD071C" w:rsidR="006F5AF5" w:rsidRPr="008D401B" w:rsidRDefault="00296F3A" w:rsidP="008D401B">
      <w:pPr>
        <w:pStyle w:val="Heading1"/>
      </w:pPr>
      <w:r w:rsidRPr="008D401B">
        <w:t xml:space="preserve">Corrosion Protection of </w:t>
      </w:r>
      <w:r w:rsidR="004D5DE3">
        <w:t xml:space="preserve">Pile </w:t>
      </w:r>
      <w:r w:rsidR="006F5AF5" w:rsidRPr="008D401B">
        <w:t>Reinforcement Cage</w:t>
      </w:r>
      <w:r w:rsidR="004D5DE3">
        <w:t>s</w:t>
      </w:r>
    </w:p>
    <w:p w14:paraId="3B55558E" w14:textId="77777777" w:rsidR="006F5AF5" w:rsidRPr="00124D74" w:rsidRDefault="006F5AF5" w:rsidP="006F5AF5">
      <w:pPr>
        <w:rPr>
          <w:rFonts w:cs="Arial"/>
          <w:sz w:val="18"/>
        </w:rPr>
      </w:pPr>
    </w:p>
    <w:p w14:paraId="53C00C64" w14:textId="42286BB1" w:rsidR="006F5AF5" w:rsidRDefault="00296F3A" w:rsidP="008D401B">
      <w:r>
        <w:t xml:space="preserve">The main bars of pile </w:t>
      </w:r>
      <w:r w:rsidR="006F5AF5">
        <w:t xml:space="preserve">reinforcement cages </w:t>
      </w:r>
      <w:r>
        <w:t xml:space="preserve">are often </w:t>
      </w:r>
      <w:r w:rsidR="006F5AF5">
        <w:t xml:space="preserve">extended below the base of the </w:t>
      </w:r>
      <w:r>
        <w:t xml:space="preserve">required </w:t>
      </w:r>
      <w:r w:rsidR="006F5AF5">
        <w:t xml:space="preserve">reinforcement cage </w:t>
      </w:r>
      <w:r>
        <w:t xml:space="preserve">toe level </w:t>
      </w:r>
      <w:r w:rsidR="006F5AF5">
        <w:t xml:space="preserve">as ‘feet’ to provide the required concrete cover </w:t>
      </w:r>
      <w:r>
        <w:t xml:space="preserve">to the main cage </w:t>
      </w:r>
      <w:r w:rsidR="006F5AF5">
        <w:t xml:space="preserve">and to support the installed cage at the correct level giving some flexibility to the bore depth. </w:t>
      </w:r>
    </w:p>
    <w:p w14:paraId="09A83013" w14:textId="249617D3" w:rsidR="006F5AF5" w:rsidRDefault="006F5AF5" w:rsidP="008D401B"/>
    <w:p w14:paraId="2D1CBAEB" w14:textId="36BE5477" w:rsidR="00CF7321" w:rsidRDefault="00CF7321" w:rsidP="008D401B">
      <w:r>
        <w:t>Not all piles are designed to require any resistance from base as they can generate the required resistance entirely from shaft friction.</w:t>
      </w:r>
    </w:p>
    <w:p w14:paraId="0064F4AC" w14:textId="77777777" w:rsidR="00CF7321" w:rsidRDefault="00CF7321" w:rsidP="008D401B"/>
    <w:p w14:paraId="1448F0EB" w14:textId="2C739147" w:rsidR="006F5AF5" w:rsidRDefault="006F5AF5" w:rsidP="008D401B">
      <w:r>
        <w:t xml:space="preserve">It has been noted that there is a trend in infrastructure project clients requesting or querying that the extended bars </w:t>
      </w:r>
      <w:r w:rsidR="00B53C9A">
        <w:t>should be</w:t>
      </w:r>
      <w:r>
        <w:t xml:space="preserve"> protected against corrosion. This is not a requirement in either the ICE Specification for piling and embedded retaining </w:t>
      </w:r>
      <w:proofErr w:type="gramStart"/>
      <w:r>
        <w:t>walls</w:t>
      </w:r>
      <w:r w:rsidR="00042C15" w:rsidRPr="00042C15">
        <w:rPr>
          <w:vertAlign w:val="superscript"/>
        </w:rPr>
        <w:t>(</w:t>
      </w:r>
      <w:proofErr w:type="gramEnd"/>
      <w:r w:rsidR="00042C15" w:rsidRPr="00042C15">
        <w:rPr>
          <w:vertAlign w:val="superscript"/>
        </w:rPr>
        <w:t>1)</w:t>
      </w:r>
      <w:r>
        <w:t>, or the Specification for Highway Works Series 1600 Piling and Embedding Retaining Walls</w:t>
      </w:r>
      <w:r w:rsidR="00042C15" w:rsidRPr="00042C15">
        <w:rPr>
          <w:vertAlign w:val="superscript"/>
        </w:rPr>
        <w:t>(8)</w:t>
      </w:r>
      <w:r>
        <w:t>.</w:t>
      </w:r>
    </w:p>
    <w:p w14:paraId="4D4F1AB2" w14:textId="77777777" w:rsidR="006F5AF5" w:rsidRDefault="006F5AF5" w:rsidP="008D401B"/>
    <w:p w14:paraId="6EC008C3" w14:textId="2AFB948C" w:rsidR="006F5AF5" w:rsidRDefault="00296F3A" w:rsidP="008D401B">
      <w:r>
        <w:t xml:space="preserve">One example of </w:t>
      </w:r>
      <w:r w:rsidR="00B53C9A">
        <w:t>the measures which contractors have been forced to implement as a</w:t>
      </w:r>
      <w:r w:rsidR="006F5AF5">
        <w:t xml:space="preserve"> method </w:t>
      </w:r>
      <w:r w:rsidR="00E13449">
        <w:t>of protecting</w:t>
      </w:r>
      <w:r w:rsidR="006F5AF5">
        <w:t xml:space="preserve"> the steel </w:t>
      </w:r>
      <w:r w:rsidR="00B53C9A">
        <w:t>is</w:t>
      </w:r>
      <w:r w:rsidR="006F5AF5">
        <w:t xml:space="preserve"> to apply galvanising paint spray to the lower 200mm of bar, fit a plastic mushroom cap to the base, and wrap in Denso tape. This </w:t>
      </w:r>
      <w:proofErr w:type="gramStart"/>
      <w:r w:rsidR="006F5AF5">
        <w:t>ha</w:t>
      </w:r>
      <w:r w:rsidR="00B53C9A">
        <w:t>s</w:t>
      </w:r>
      <w:r w:rsidR="006F5AF5">
        <w:t xml:space="preserve"> to</w:t>
      </w:r>
      <w:proofErr w:type="gramEnd"/>
      <w:r w:rsidR="006F5AF5">
        <w:t xml:space="preserve"> be done once the cage </w:t>
      </w:r>
      <w:r w:rsidR="00E13449">
        <w:t>is</w:t>
      </w:r>
      <w:r w:rsidR="006F5AF5">
        <w:t xml:space="preserve"> suspended vertically as these components would otherwise be damaged as the cage is lifted from horizontal to vertical. </w:t>
      </w:r>
      <w:r w:rsidR="005F53E1">
        <w:t>Such activities have a small impact on the time and cost of piling operations but more significantly pose a safety risk to the operatives carrying out the task.</w:t>
      </w:r>
    </w:p>
    <w:p w14:paraId="581D0278" w14:textId="77777777" w:rsidR="006F5AF5" w:rsidRDefault="006F5AF5" w:rsidP="008D401B"/>
    <w:p w14:paraId="1D9AEDA5" w14:textId="424C07CE" w:rsidR="00EF2912" w:rsidRDefault="00EF2912" w:rsidP="008D401B">
      <w:r>
        <w:t>Both water and oxygen are required for corrosion to take place. At the base of the concreted pile</w:t>
      </w:r>
      <w:r w:rsidR="00CF7321">
        <w:t>, in the vast majority of ground conditions,</w:t>
      </w:r>
      <w:r>
        <w:t xml:space="preserve"> oxygen does not exist hence the environment is anaerobic and therefore corrosion does not </w:t>
      </w:r>
      <w:proofErr w:type="gramStart"/>
      <w:r>
        <w:t>occur</w:t>
      </w:r>
      <w:r w:rsidR="00771A54" w:rsidRPr="00771A54">
        <w:rPr>
          <w:vertAlign w:val="superscript"/>
        </w:rPr>
        <w:t>(</w:t>
      </w:r>
      <w:proofErr w:type="gramEnd"/>
      <w:r w:rsidR="00771A54" w:rsidRPr="00771A54">
        <w:rPr>
          <w:vertAlign w:val="superscript"/>
        </w:rPr>
        <w:t>7)</w:t>
      </w:r>
      <w:r>
        <w:t xml:space="preserve">. There are some exceptions whereby in tropical soils and/or marine environments where bacterial corrosion can </w:t>
      </w:r>
      <w:r w:rsidR="008D401B">
        <w:t>occur,</w:t>
      </w:r>
      <w:r>
        <w:t xml:space="preserve"> and this should be a consideration when working in these ground conditions.</w:t>
      </w:r>
    </w:p>
    <w:p w14:paraId="6A428712" w14:textId="422A41BC" w:rsidR="006F5AF5" w:rsidRDefault="006F5AF5" w:rsidP="008D401B"/>
    <w:p w14:paraId="0627D69E" w14:textId="2BFA17F4" w:rsidR="006F5AF5" w:rsidRPr="00A60FE1" w:rsidRDefault="00EF2912" w:rsidP="00A60FE1">
      <w:pPr>
        <w:rPr>
          <w:rFonts w:ascii="Calibri" w:hAnsi="Calibri" w:cs="Calibri"/>
          <w:szCs w:val="22"/>
          <w:lang w:val="en-US"/>
        </w:rPr>
      </w:pPr>
      <w:r>
        <w:t xml:space="preserve">As </w:t>
      </w:r>
      <w:proofErr w:type="gramStart"/>
      <w:r>
        <w:t>steel</w:t>
      </w:r>
      <w:proofErr w:type="gramEnd"/>
      <w:r>
        <w:t xml:space="preserve"> </w:t>
      </w:r>
      <w:r w:rsidR="00CF7321">
        <w:t xml:space="preserve">which is sufficiently </w:t>
      </w:r>
      <w:r>
        <w:t xml:space="preserve">encapsulated in concrete does not corrode, most of the studies relate to steel piles where the steel is in direct contact with the environment. </w:t>
      </w:r>
      <w:r w:rsidR="006F5AF5">
        <w:t xml:space="preserve">Within the ICE </w:t>
      </w:r>
      <w:proofErr w:type="gramStart"/>
      <w:r w:rsidR="006F5AF5">
        <w:t>Specification</w:t>
      </w:r>
      <w:r w:rsidR="00A60FE1" w:rsidRPr="00A60FE1">
        <w:rPr>
          <w:vertAlign w:val="superscript"/>
        </w:rPr>
        <w:t>(</w:t>
      </w:r>
      <w:proofErr w:type="gramEnd"/>
      <w:r w:rsidR="00CD1228">
        <w:rPr>
          <w:vertAlign w:val="superscript"/>
        </w:rPr>
        <w:fldChar w:fldCharType="begin"/>
      </w:r>
      <w:r w:rsidR="00CD1228">
        <w:rPr>
          <w:vertAlign w:val="superscript"/>
        </w:rPr>
        <w:instrText xml:space="preserve"> REF _Ref82169200 \r \h </w:instrText>
      </w:r>
      <w:r w:rsidR="00CD1228">
        <w:rPr>
          <w:vertAlign w:val="superscript"/>
        </w:rPr>
      </w:r>
      <w:r w:rsidR="00CD1228">
        <w:rPr>
          <w:vertAlign w:val="superscript"/>
        </w:rPr>
        <w:fldChar w:fldCharType="separate"/>
      </w:r>
      <w:r w:rsidR="00771A54">
        <w:rPr>
          <w:vertAlign w:val="superscript"/>
        </w:rPr>
        <w:t>1</w:t>
      </w:r>
      <w:r w:rsidR="00CD1228">
        <w:rPr>
          <w:vertAlign w:val="superscript"/>
        </w:rPr>
        <w:fldChar w:fldCharType="end"/>
      </w:r>
      <w:r w:rsidR="006F5AF5" w:rsidRPr="00795F88">
        <w:rPr>
          <w:vertAlign w:val="superscript"/>
        </w:rPr>
        <w:t>)</w:t>
      </w:r>
      <w:r w:rsidR="006F5AF5">
        <w:t>, direct reference to corrosion of reinforcement cages is not made, but corrosion is referenced in section C8.5 where the following is stated:</w:t>
      </w:r>
      <w:r w:rsidR="006F5AF5">
        <w:rPr>
          <w:rFonts w:ascii="Calibri" w:hAnsi="Calibri" w:cs="Calibri"/>
          <w:szCs w:val="22"/>
          <w:lang w:val="en-US"/>
        </w:rPr>
        <w:t xml:space="preserve"> </w:t>
      </w:r>
    </w:p>
    <w:p w14:paraId="41611E93" w14:textId="77777777" w:rsidR="006F5AF5" w:rsidRPr="00E51C0B" w:rsidRDefault="006F5AF5" w:rsidP="008D401B">
      <w:pPr>
        <w:pStyle w:val="Quote"/>
        <w:rPr>
          <w:lang w:val="en-US"/>
        </w:rPr>
      </w:pPr>
      <w:r w:rsidRPr="00E51C0B">
        <w:rPr>
          <w:lang w:val="en-US"/>
        </w:rPr>
        <w:t>‘The corrosion rate applicable to steel piles installed into undisturbed natural soils tends to zero as both water and oxygen must be present for corrosion to take place. At depth there is little oxygen available, so the process ceases.’</w:t>
      </w:r>
    </w:p>
    <w:p w14:paraId="0EE78331" w14:textId="0AFF468B" w:rsidR="006F5AF5" w:rsidRPr="00CD1228" w:rsidRDefault="006F5AF5" w:rsidP="006F5AF5">
      <w:pPr>
        <w:autoSpaceDE w:val="0"/>
        <w:autoSpaceDN w:val="0"/>
        <w:adjustRightInd w:val="0"/>
        <w:rPr>
          <w:rFonts w:cs="Arial"/>
          <w:szCs w:val="20"/>
          <w:lang w:val="en-US"/>
        </w:rPr>
      </w:pPr>
      <w:r w:rsidRPr="00CD1228">
        <w:rPr>
          <w:rFonts w:cs="Arial"/>
          <w:szCs w:val="20"/>
          <w:lang w:val="en-US"/>
        </w:rPr>
        <w:t xml:space="preserve">This is further evidenced in </w:t>
      </w:r>
      <w:r w:rsidR="00A60FE1" w:rsidRPr="00CD1228">
        <w:rPr>
          <w:rFonts w:cs="Arial"/>
          <w:szCs w:val="20"/>
          <w:lang w:val="en-US"/>
        </w:rPr>
        <w:t xml:space="preserve">a review of published </w:t>
      </w:r>
      <w:proofErr w:type="gramStart"/>
      <w:r w:rsidR="00A60FE1" w:rsidRPr="00CD1228">
        <w:rPr>
          <w:rFonts w:cs="Arial"/>
          <w:szCs w:val="20"/>
          <w:lang w:val="en-US"/>
        </w:rPr>
        <w:t>data</w:t>
      </w:r>
      <w:r w:rsidR="00A60FE1" w:rsidRPr="00CD1228">
        <w:rPr>
          <w:rFonts w:cs="Arial"/>
          <w:szCs w:val="20"/>
          <w:vertAlign w:val="superscript"/>
          <w:lang w:val="en-US"/>
        </w:rPr>
        <w:t>(</w:t>
      </w:r>
      <w:proofErr w:type="gramEnd"/>
      <w:r w:rsidR="00A60FE1" w:rsidRPr="00CD1228">
        <w:rPr>
          <w:rFonts w:cs="Arial"/>
          <w:szCs w:val="20"/>
          <w:vertAlign w:val="superscript"/>
          <w:lang w:val="en-US"/>
        </w:rPr>
        <w:t>2,3</w:t>
      </w:r>
      <w:r w:rsidR="004D5DE3">
        <w:rPr>
          <w:rFonts w:cs="Arial"/>
          <w:szCs w:val="20"/>
          <w:vertAlign w:val="superscript"/>
          <w:lang w:val="en-US"/>
        </w:rPr>
        <w:t>,9</w:t>
      </w:r>
      <w:r w:rsidR="00A60FE1" w:rsidRPr="00CD1228">
        <w:rPr>
          <w:rFonts w:cs="Arial"/>
          <w:szCs w:val="20"/>
          <w:vertAlign w:val="superscript"/>
          <w:lang w:val="en-US"/>
        </w:rPr>
        <w:t>)</w:t>
      </w:r>
      <w:r w:rsidRPr="00CD1228">
        <w:rPr>
          <w:rFonts w:cs="Arial"/>
          <w:szCs w:val="20"/>
          <w:lang w:val="en-US"/>
        </w:rPr>
        <w:t xml:space="preserve"> addressing corrosion on steel bearing piles which states: </w:t>
      </w:r>
    </w:p>
    <w:p w14:paraId="45874619" w14:textId="77777777" w:rsidR="006F5AF5" w:rsidRDefault="006F5AF5" w:rsidP="008D401B">
      <w:pPr>
        <w:pStyle w:val="Quote"/>
        <w:rPr>
          <w:rFonts w:eastAsia="Calibri"/>
        </w:rPr>
      </w:pPr>
      <w:r>
        <w:rPr>
          <w:rFonts w:eastAsia="Calibri"/>
        </w:rPr>
        <w:t>‘</w:t>
      </w:r>
      <w:r w:rsidRPr="00E51C0B">
        <w:rPr>
          <w:rFonts w:eastAsia="Calibri"/>
        </w:rPr>
        <w:t>The underground corrosion of steel piles has been</w:t>
      </w:r>
      <w:r>
        <w:rPr>
          <w:rFonts w:eastAsia="Calibri"/>
        </w:rPr>
        <w:t xml:space="preserve"> </w:t>
      </w:r>
      <w:r w:rsidRPr="00E51C0B">
        <w:rPr>
          <w:rFonts w:eastAsia="Calibri"/>
        </w:rPr>
        <w:t>studied extensively. A review of published data,</w:t>
      </w:r>
      <w:r>
        <w:rPr>
          <w:rFonts w:eastAsia="Calibri"/>
        </w:rPr>
        <w:t xml:space="preserve"> </w:t>
      </w:r>
      <w:r w:rsidRPr="00E51C0B">
        <w:rPr>
          <w:rFonts w:eastAsia="Calibri"/>
        </w:rPr>
        <w:t>outlining mainly overseas experiences, concluded that,</w:t>
      </w:r>
      <w:r>
        <w:rPr>
          <w:rFonts w:eastAsia="Calibri"/>
        </w:rPr>
        <w:t xml:space="preserve"> </w:t>
      </w:r>
      <w:r w:rsidRPr="00E51C0B">
        <w:rPr>
          <w:rFonts w:eastAsia="Calibri"/>
        </w:rPr>
        <w:t>unless the soils are strongly acidic (pH&lt;4), the</w:t>
      </w:r>
      <w:r>
        <w:rPr>
          <w:rFonts w:eastAsia="Calibri"/>
        </w:rPr>
        <w:t xml:space="preserve"> </w:t>
      </w:r>
      <w:r w:rsidRPr="00E51C0B">
        <w:rPr>
          <w:rFonts w:eastAsia="Calibri"/>
        </w:rPr>
        <w:t>underground corrosion of steel piles driven into</w:t>
      </w:r>
      <w:r>
        <w:rPr>
          <w:rFonts w:eastAsia="Calibri"/>
        </w:rPr>
        <w:t xml:space="preserve"> </w:t>
      </w:r>
      <w:r w:rsidRPr="00E51C0B">
        <w:rPr>
          <w:rFonts w:eastAsia="Calibri"/>
        </w:rPr>
        <w:t>undisturbed soils is negligible, irrespective of the soil</w:t>
      </w:r>
      <w:r>
        <w:rPr>
          <w:rFonts w:eastAsia="Calibri"/>
        </w:rPr>
        <w:t xml:space="preserve"> </w:t>
      </w:r>
      <w:r w:rsidRPr="00E51C0B">
        <w:rPr>
          <w:rFonts w:eastAsia="Calibri"/>
        </w:rPr>
        <w:t>type and characteristics. The insignificant corrosion</w:t>
      </w:r>
      <w:r>
        <w:rPr>
          <w:rFonts w:eastAsia="Calibri"/>
        </w:rPr>
        <w:t xml:space="preserve"> </w:t>
      </w:r>
      <w:r w:rsidRPr="00E51C0B">
        <w:rPr>
          <w:rFonts w:eastAsia="Calibri"/>
        </w:rPr>
        <w:t>attack was attributed to the</w:t>
      </w:r>
      <w:r>
        <w:rPr>
          <w:rFonts w:eastAsia="Calibri"/>
        </w:rPr>
        <w:t xml:space="preserve"> </w:t>
      </w:r>
      <w:r w:rsidRPr="00E51C0B">
        <w:rPr>
          <w:rFonts w:eastAsia="Calibri"/>
        </w:rPr>
        <w:t>very low oxygen levels</w:t>
      </w:r>
      <w:r>
        <w:rPr>
          <w:rFonts w:eastAsia="Calibri"/>
        </w:rPr>
        <w:t xml:space="preserve"> </w:t>
      </w:r>
      <w:r w:rsidRPr="00E51C0B">
        <w:rPr>
          <w:rFonts w:eastAsia="Calibri"/>
        </w:rPr>
        <w:t>present in undisturbed soils.</w:t>
      </w:r>
      <w:r>
        <w:rPr>
          <w:rFonts w:eastAsia="Calibri"/>
        </w:rPr>
        <w:t>’</w:t>
      </w:r>
    </w:p>
    <w:p w14:paraId="7198FEC0" w14:textId="77777777" w:rsidR="006F5AF5" w:rsidRDefault="006F5AF5" w:rsidP="006F5AF5">
      <w:pPr>
        <w:autoSpaceDE w:val="0"/>
        <w:autoSpaceDN w:val="0"/>
        <w:adjustRightInd w:val="0"/>
        <w:rPr>
          <w:rFonts w:eastAsia="Calibri" w:cs="Arial"/>
          <w:i/>
          <w:sz w:val="16"/>
          <w:szCs w:val="16"/>
        </w:rPr>
      </w:pPr>
    </w:p>
    <w:p w14:paraId="5330222A" w14:textId="1E0C5E06" w:rsidR="006F5AF5" w:rsidRPr="00CD1228" w:rsidRDefault="00100218" w:rsidP="006F5AF5">
      <w:pPr>
        <w:autoSpaceDE w:val="0"/>
        <w:autoSpaceDN w:val="0"/>
        <w:adjustRightInd w:val="0"/>
        <w:rPr>
          <w:rFonts w:eastAsia="Calibri" w:cs="Arial"/>
          <w:szCs w:val="20"/>
        </w:rPr>
      </w:pPr>
      <w:r w:rsidRPr="00CD1228">
        <w:rPr>
          <w:rFonts w:eastAsia="Calibri" w:cs="Arial"/>
          <w:szCs w:val="20"/>
        </w:rPr>
        <w:t xml:space="preserve">Guidance on the corrosion of steel bearing </w:t>
      </w:r>
      <w:proofErr w:type="gramStart"/>
      <w:r w:rsidRPr="00CD1228">
        <w:rPr>
          <w:rFonts w:eastAsia="Calibri" w:cs="Arial"/>
          <w:szCs w:val="20"/>
        </w:rPr>
        <w:t>piles</w:t>
      </w:r>
      <w:r w:rsidRPr="00CD1228">
        <w:rPr>
          <w:rFonts w:eastAsia="Calibri" w:cs="Arial"/>
          <w:szCs w:val="20"/>
          <w:vertAlign w:val="superscript"/>
        </w:rPr>
        <w:t>(</w:t>
      </w:r>
      <w:proofErr w:type="gramEnd"/>
      <w:r w:rsidRPr="00CD1228">
        <w:rPr>
          <w:rFonts w:eastAsia="Calibri" w:cs="Arial"/>
          <w:szCs w:val="20"/>
          <w:vertAlign w:val="superscript"/>
        </w:rPr>
        <w:t>2)</w:t>
      </w:r>
      <w:r w:rsidRPr="00CD1228">
        <w:rPr>
          <w:rFonts w:eastAsia="Calibri" w:cs="Arial"/>
          <w:szCs w:val="20"/>
        </w:rPr>
        <w:t xml:space="preserve"> </w:t>
      </w:r>
      <w:r w:rsidR="006F5AF5" w:rsidRPr="00CD1228">
        <w:rPr>
          <w:rFonts w:eastAsia="Calibri" w:cs="Arial"/>
          <w:szCs w:val="20"/>
        </w:rPr>
        <w:t>concludes that:</w:t>
      </w:r>
    </w:p>
    <w:p w14:paraId="789B77FA" w14:textId="69CBDA3A" w:rsidR="006F5AF5" w:rsidRPr="001570AE" w:rsidRDefault="006F5AF5" w:rsidP="008D401B">
      <w:pPr>
        <w:pStyle w:val="Quote"/>
        <w:rPr>
          <w:rFonts w:eastAsia="Calibri"/>
        </w:rPr>
      </w:pPr>
      <w:r w:rsidRPr="001570AE">
        <w:rPr>
          <w:rFonts w:eastAsia="Calibri"/>
        </w:rPr>
        <w:t>‘Guidance on corrosion allowances for piles in natural soils is given in BS 8002</w:t>
      </w:r>
      <w:r w:rsidR="008E2DF8" w:rsidRPr="008E2DF8">
        <w:rPr>
          <w:rFonts w:eastAsia="Calibri"/>
          <w:vertAlign w:val="superscript"/>
        </w:rPr>
        <w:t>(4)</w:t>
      </w:r>
      <w:r w:rsidRPr="001570AE">
        <w:rPr>
          <w:rFonts w:eastAsia="Calibri"/>
        </w:rPr>
        <w:t xml:space="preserve"> where the maximum corrosion rate of 0.015mm/year/side is </w:t>
      </w:r>
      <w:r w:rsidR="00A60FE1" w:rsidRPr="001570AE">
        <w:rPr>
          <w:rFonts w:eastAsia="Calibri"/>
        </w:rPr>
        <w:t>advised,</w:t>
      </w:r>
      <w:r w:rsidRPr="001570AE">
        <w:rPr>
          <w:rFonts w:eastAsia="Calibri"/>
        </w:rPr>
        <w:t xml:space="preserve"> and no other protection is required. This is within the range quoted by BS 8004</w:t>
      </w:r>
      <w:r w:rsidR="00E97092" w:rsidRPr="00E97092">
        <w:rPr>
          <w:rFonts w:eastAsia="Calibri"/>
          <w:vertAlign w:val="superscript"/>
        </w:rPr>
        <w:t>(5)</w:t>
      </w:r>
      <w:r w:rsidRPr="001570AE">
        <w:rPr>
          <w:rFonts w:eastAsia="Calibri"/>
        </w:rPr>
        <w:t xml:space="preserve"> and consistent with the corrosion rates derived from Eurocode 3</w:t>
      </w:r>
      <w:r w:rsidR="00E97092" w:rsidRPr="00E97092">
        <w:rPr>
          <w:rFonts w:eastAsia="Calibri"/>
          <w:vertAlign w:val="superscript"/>
        </w:rPr>
        <w:t>(6)</w:t>
      </w:r>
      <w:r w:rsidRPr="001570AE">
        <w:rPr>
          <w:rFonts w:eastAsia="Calibri"/>
        </w:rPr>
        <w:t>.’</w:t>
      </w:r>
    </w:p>
    <w:p w14:paraId="394680F7" w14:textId="3475C1BC" w:rsidR="00BF7E32" w:rsidRPr="00CD1228" w:rsidRDefault="00BF7E32" w:rsidP="00BF7E32">
      <w:pPr>
        <w:rPr>
          <w:rFonts w:cs="Arial"/>
          <w:szCs w:val="28"/>
        </w:rPr>
      </w:pPr>
      <w:r w:rsidRPr="00CD1228">
        <w:rPr>
          <w:rFonts w:cs="Arial"/>
          <w:szCs w:val="28"/>
        </w:rPr>
        <w:t xml:space="preserve">In view of the information presented above corrosion protection </w:t>
      </w:r>
      <w:r w:rsidR="00EF2912" w:rsidRPr="00CD1228">
        <w:rPr>
          <w:rFonts w:cs="Arial"/>
          <w:szCs w:val="28"/>
        </w:rPr>
        <w:t xml:space="preserve">of pile reinforcement cages </w:t>
      </w:r>
      <w:r w:rsidRPr="00CD1228">
        <w:rPr>
          <w:rFonts w:cs="Arial"/>
          <w:szCs w:val="28"/>
        </w:rPr>
        <w:t xml:space="preserve">is not required </w:t>
      </w:r>
      <w:r w:rsidR="00EF2912" w:rsidRPr="00CD1228">
        <w:rPr>
          <w:rFonts w:cs="Arial"/>
          <w:szCs w:val="28"/>
        </w:rPr>
        <w:t xml:space="preserve">at the toe of the pile, </w:t>
      </w:r>
      <w:r w:rsidRPr="00CD1228">
        <w:rPr>
          <w:rFonts w:cs="Arial"/>
          <w:szCs w:val="28"/>
        </w:rPr>
        <w:t xml:space="preserve">unless </w:t>
      </w:r>
      <w:r w:rsidR="00EF2912" w:rsidRPr="00CD1228">
        <w:rPr>
          <w:rFonts w:cs="Arial"/>
          <w:szCs w:val="28"/>
        </w:rPr>
        <w:t xml:space="preserve">installed in </w:t>
      </w:r>
      <w:r w:rsidRPr="00CD1228">
        <w:rPr>
          <w:rFonts w:cs="Arial"/>
          <w:szCs w:val="28"/>
        </w:rPr>
        <w:t>tropical soils and/or marine environments where bacterial corrosion can occur and therefore corrosion rate should be considered.</w:t>
      </w:r>
    </w:p>
    <w:p w14:paraId="60CE5BC5" w14:textId="77777777" w:rsidR="00BF7E32" w:rsidRDefault="00BF7E32" w:rsidP="00BF7E32">
      <w:pPr>
        <w:rPr>
          <w:rFonts w:cs="Arial"/>
          <w:sz w:val="18"/>
        </w:rPr>
      </w:pPr>
    </w:p>
    <w:p w14:paraId="67A37ED0" w14:textId="7EB8F106" w:rsidR="007340E3" w:rsidRPr="008D401B" w:rsidRDefault="008D401B" w:rsidP="008D401B">
      <w:pPr>
        <w:pStyle w:val="Heading2"/>
        <w:rPr>
          <w:rStyle w:val="IntenseReference"/>
          <w:b w:val="0"/>
          <w:bCs w:val="0"/>
          <w:smallCaps w:val="0"/>
          <w:color w:val="0DB02B" w:themeColor="accent6"/>
          <w:spacing w:val="0"/>
        </w:rPr>
      </w:pPr>
      <w:r w:rsidRPr="008D401B">
        <w:rPr>
          <w:rStyle w:val="IntenseReference"/>
          <w:b w:val="0"/>
          <w:bCs w:val="0"/>
          <w:smallCaps w:val="0"/>
          <w:color w:val="0DB02B" w:themeColor="accent6"/>
          <w:spacing w:val="0"/>
        </w:rPr>
        <w:t>References</w:t>
      </w:r>
    </w:p>
    <w:p w14:paraId="14E8B761" w14:textId="2ADF4086" w:rsidR="001B0CC2" w:rsidRDefault="001B0CC2" w:rsidP="001B0CC2">
      <w:pPr>
        <w:pStyle w:val="ListParagraph"/>
        <w:numPr>
          <w:ilvl w:val="0"/>
          <w:numId w:val="4"/>
        </w:numPr>
        <w:spacing w:before="120" w:after="120"/>
        <w:ind w:left="714" w:hanging="357"/>
        <w:contextualSpacing w:val="0"/>
        <w:rPr>
          <w:rStyle w:val="SubtleReference"/>
          <w:smallCaps w:val="0"/>
        </w:rPr>
      </w:pPr>
      <w:bookmarkStart w:id="0" w:name="_Ref82169200"/>
      <w:r>
        <w:rPr>
          <w:rStyle w:val="SubtleReference"/>
          <w:smallCaps w:val="0"/>
        </w:rPr>
        <w:t>I</w:t>
      </w:r>
      <w:r w:rsidR="00BB4341">
        <w:rPr>
          <w:rStyle w:val="SubtleReference"/>
          <w:smallCaps w:val="0"/>
        </w:rPr>
        <w:t xml:space="preserve">nstitution of </w:t>
      </w:r>
      <w:r>
        <w:rPr>
          <w:rStyle w:val="SubtleReference"/>
          <w:smallCaps w:val="0"/>
        </w:rPr>
        <w:t>C</w:t>
      </w:r>
      <w:r w:rsidR="00BB4341">
        <w:rPr>
          <w:rStyle w:val="SubtleReference"/>
          <w:smallCaps w:val="0"/>
        </w:rPr>
        <w:t xml:space="preserve">ivil </w:t>
      </w:r>
      <w:r>
        <w:rPr>
          <w:rStyle w:val="SubtleReference"/>
          <w:smallCaps w:val="0"/>
        </w:rPr>
        <w:t>E</w:t>
      </w:r>
      <w:r w:rsidR="00BB4341">
        <w:rPr>
          <w:rStyle w:val="SubtleReference"/>
          <w:smallCaps w:val="0"/>
        </w:rPr>
        <w:t>ngineers</w:t>
      </w:r>
      <w:r>
        <w:rPr>
          <w:rStyle w:val="SubtleReference"/>
          <w:smallCaps w:val="0"/>
        </w:rPr>
        <w:t xml:space="preserve">: ‘Specification for Piling and Embedded Retaining Walls’, Third edition, </w:t>
      </w:r>
      <w:r w:rsidR="00BB4341">
        <w:rPr>
          <w:rStyle w:val="SubtleReference"/>
          <w:smallCaps w:val="0"/>
        </w:rPr>
        <w:t>Thomas Telford Ltd, 2017</w:t>
      </w:r>
      <w:bookmarkEnd w:id="0"/>
    </w:p>
    <w:p w14:paraId="6BCB9C17" w14:textId="77777777" w:rsidR="00A60FE1" w:rsidRPr="00A60FE1" w:rsidRDefault="00A60FE1" w:rsidP="00A60FE1">
      <w:pPr>
        <w:pStyle w:val="ListParagraph"/>
        <w:numPr>
          <w:ilvl w:val="0"/>
          <w:numId w:val="4"/>
        </w:numPr>
        <w:spacing w:before="120" w:after="120"/>
        <w:ind w:left="714" w:hanging="357"/>
        <w:contextualSpacing w:val="0"/>
        <w:rPr>
          <w:rStyle w:val="SubtleReference"/>
          <w:smallCaps w:val="0"/>
        </w:rPr>
      </w:pPr>
      <w:r w:rsidRPr="001B0CC2">
        <w:rPr>
          <w:rStyle w:val="SubtleReference"/>
          <w:smallCaps w:val="0"/>
        </w:rPr>
        <w:t>Corus: ‘A corrosion protection guide – For steel bearing piles in temperate climates’, CC&amp;I:</w:t>
      </w:r>
      <w:proofErr w:type="gramStart"/>
      <w:r w:rsidRPr="001B0CC2">
        <w:rPr>
          <w:rStyle w:val="SubtleReference"/>
          <w:smallCaps w:val="0"/>
        </w:rPr>
        <w:t>CD:F</w:t>
      </w:r>
      <w:proofErr w:type="gramEnd"/>
      <w:r w:rsidRPr="001B0CC2">
        <w:rPr>
          <w:rStyle w:val="SubtleReference"/>
          <w:smallCaps w:val="0"/>
        </w:rPr>
        <w:t>:3000:UK:02/2005, Corus Construction &amp; Industrial, 2005.</w:t>
      </w:r>
    </w:p>
    <w:p w14:paraId="35AA5CE3" w14:textId="3C5FDE1B" w:rsidR="00A60FE1" w:rsidRDefault="00A60FE1" w:rsidP="00A60FE1">
      <w:pPr>
        <w:pStyle w:val="ListParagraph"/>
        <w:numPr>
          <w:ilvl w:val="0"/>
          <w:numId w:val="4"/>
        </w:numPr>
        <w:spacing w:before="120" w:after="120"/>
        <w:ind w:left="714" w:hanging="357"/>
        <w:contextualSpacing w:val="0"/>
        <w:rPr>
          <w:rStyle w:val="SubtleReference"/>
          <w:smallCaps w:val="0"/>
        </w:rPr>
      </w:pPr>
      <w:r w:rsidRPr="001B0CC2">
        <w:rPr>
          <w:rStyle w:val="SubtleReference"/>
          <w:smallCaps w:val="0"/>
        </w:rPr>
        <w:t>J. Morley: ‘A Review of the Underground Corrosion of Steel Piling’, Report T/CS/1114/1/78/C, British Steel Technical, Teesside Laboratories, 1978.</w:t>
      </w:r>
    </w:p>
    <w:p w14:paraId="44D87D1D" w14:textId="198F00EB" w:rsidR="008E2DF8" w:rsidRDefault="008E2DF8" w:rsidP="00A60FE1">
      <w:pPr>
        <w:pStyle w:val="ListParagraph"/>
        <w:numPr>
          <w:ilvl w:val="0"/>
          <w:numId w:val="4"/>
        </w:numPr>
        <w:spacing w:before="120" w:after="120"/>
        <w:ind w:left="714" w:hanging="357"/>
        <w:contextualSpacing w:val="0"/>
        <w:rPr>
          <w:rStyle w:val="SubtleReference"/>
          <w:smallCaps w:val="0"/>
        </w:rPr>
      </w:pPr>
      <w:r>
        <w:rPr>
          <w:rStyle w:val="SubtleReference"/>
          <w:smallCaps w:val="0"/>
        </w:rPr>
        <w:t>BSI: ‘Code of practice for earth retaining structures’, 4.4.4.4.3.1, BS 8002:1994</w:t>
      </w:r>
    </w:p>
    <w:p w14:paraId="60767682" w14:textId="3BDB19B3" w:rsidR="008E2DF8" w:rsidRDefault="008E2DF8" w:rsidP="008E2DF8">
      <w:pPr>
        <w:pStyle w:val="ListParagraph"/>
        <w:numPr>
          <w:ilvl w:val="0"/>
          <w:numId w:val="4"/>
        </w:numPr>
        <w:spacing w:before="120" w:after="120"/>
        <w:ind w:left="714" w:hanging="357"/>
        <w:contextualSpacing w:val="0"/>
        <w:rPr>
          <w:rStyle w:val="SubtleReference"/>
          <w:smallCaps w:val="0"/>
        </w:rPr>
      </w:pPr>
      <w:r>
        <w:rPr>
          <w:rStyle w:val="SubtleReference"/>
          <w:smallCaps w:val="0"/>
        </w:rPr>
        <w:t>BSI: ‘Code of practice for foundations’,</w:t>
      </w:r>
      <w:r w:rsidR="00E97092">
        <w:rPr>
          <w:rStyle w:val="SubtleReference"/>
          <w:smallCaps w:val="0"/>
        </w:rPr>
        <w:t xml:space="preserve"> 10.3.5,</w:t>
      </w:r>
      <w:r>
        <w:rPr>
          <w:rStyle w:val="SubtleReference"/>
          <w:smallCaps w:val="0"/>
        </w:rPr>
        <w:t xml:space="preserve"> BS 8004:1986</w:t>
      </w:r>
    </w:p>
    <w:p w14:paraId="1E2301ED" w14:textId="28CDC1CD" w:rsidR="008E2DF8" w:rsidRDefault="00E97092" w:rsidP="00A60FE1">
      <w:pPr>
        <w:pStyle w:val="ListParagraph"/>
        <w:numPr>
          <w:ilvl w:val="0"/>
          <w:numId w:val="4"/>
        </w:numPr>
        <w:spacing w:before="120" w:after="120"/>
        <w:ind w:left="714" w:hanging="357"/>
        <w:contextualSpacing w:val="0"/>
        <w:rPr>
          <w:rStyle w:val="SubtleReference"/>
          <w:smallCaps w:val="0"/>
        </w:rPr>
      </w:pPr>
      <w:r>
        <w:rPr>
          <w:rStyle w:val="SubtleReference"/>
          <w:smallCaps w:val="0"/>
        </w:rPr>
        <w:t>BSI: ‘Eurocode 3 – Design of steel structures – Part 5: Piling’, Table 4-1, BS EN 1993-5:2007</w:t>
      </w:r>
    </w:p>
    <w:p w14:paraId="7890A2B8" w14:textId="6BBF452E" w:rsidR="00D07214" w:rsidRDefault="00766E9F" w:rsidP="00A60FE1">
      <w:pPr>
        <w:pStyle w:val="ListParagraph"/>
        <w:numPr>
          <w:ilvl w:val="0"/>
          <w:numId w:val="4"/>
        </w:numPr>
        <w:spacing w:before="120" w:after="120"/>
        <w:ind w:left="714" w:hanging="357"/>
        <w:contextualSpacing w:val="0"/>
        <w:rPr>
          <w:rStyle w:val="SubtleReference"/>
          <w:smallCaps w:val="0"/>
        </w:rPr>
      </w:pPr>
      <w:r>
        <w:rPr>
          <w:rStyle w:val="SubtleReference"/>
          <w:smallCaps w:val="0"/>
        </w:rPr>
        <w:t>J P Tyson: ‘Design of reinforcement in piles’, Transport Research Laboratory, TRL Report 114, 1995</w:t>
      </w:r>
    </w:p>
    <w:p w14:paraId="23CDF910" w14:textId="3EBB1A6B" w:rsidR="00042C15" w:rsidRDefault="00042C15" w:rsidP="00A60FE1">
      <w:pPr>
        <w:pStyle w:val="ListParagraph"/>
        <w:numPr>
          <w:ilvl w:val="0"/>
          <w:numId w:val="4"/>
        </w:numPr>
        <w:spacing w:before="120" w:after="120"/>
        <w:ind w:left="714" w:hanging="357"/>
        <w:contextualSpacing w:val="0"/>
        <w:rPr>
          <w:rStyle w:val="SubtleReference"/>
          <w:smallCaps w:val="0"/>
        </w:rPr>
      </w:pPr>
      <w:r>
        <w:rPr>
          <w:rStyle w:val="SubtleReference"/>
          <w:smallCaps w:val="0"/>
        </w:rPr>
        <w:t>‘Specification for Highway Works’, Volume 1, March 1998</w:t>
      </w:r>
    </w:p>
    <w:p w14:paraId="2AF155C3" w14:textId="362BDA94" w:rsidR="00CF7321" w:rsidRPr="00A60FE1" w:rsidRDefault="008D4305" w:rsidP="00A60FE1">
      <w:pPr>
        <w:pStyle w:val="ListParagraph"/>
        <w:numPr>
          <w:ilvl w:val="0"/>
          <w:numId w:val="4"/>
        </w:numPr>
        <w:spacing w:before="120" w:after="120"/>
        <w:ind w:left="714" w:hanging="357"/>
        <w:contextualSpacing w:val="0"/>
        <w:rPr>
          <w:rStyle w:val="SubtleReference"/>
          <w:smallCaps w:val="0"/>
        </w:rPr>
      </w:pPr>
      <w:r>
        <w:rPr>
          <w:rStyle w:val="SubtleReference"/>
          <w:smallCaps w:val="0"/>
        </w:rPr>
        <w:t xml:space="preserve">D </w:t>
      </w:r>
      <w:proofErr w:type="spellStart"/>
      <w:r>
        <w:rPr>
          <w:rStyle w:val="SubtleReference"/>
          <w:smallCaps w:val="0"/>
        </w:rPr>
        <w:t>Rowbottom</w:t>
      </w:r>
      <w:proofErr w:type="spellEnd"/>
      <w:r>
        <w:rPr>
          <w:rStyle w:val="SubtleReference"/>
          <w:smallCaps w:val="0"/>
        </w:rPr>
        <w:t>, D Baxter, S Cross: ‘Durability of Steel Piling’, SCI, P422, 2019</w:t>
      </w:r>
    </w:p>
    <w:sectPr w:rsidR="00CF7321" w:rsidRPr="00A60F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1152" w14:textId="77777777" w:rsidR="00296F3A" w:rsidRDefault="00296F3A" w:rsidP="00296F3A">
      <w:r>
        <w:separator/>
      </w:r>
    </w:p>
  </w:endnote>
  <w:endnote w:type="continuationSeparator" w:id="0">
    <w:p w14:paraId="3EABDECD" w14:textId="77777777" w:rsidR="00296F3A" w:rsidRDefault="00296F3A" w:rsidP="0029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8415"/>
      <w:docPartObj>
        <w:docPartGallery w:val="Page Numbers (Bottom of Page)"/>
        <w:docPartUnique/>
      </w:docPartObj>
    </w:sdtPr>
    <w:sdtEndPr/>
    <w:sdtContent>
      <w:sdt>
        <w:sdtPr>
          <w:id w:val="1728636285"/>
          <w:docPartObj>
            <w:docPartGallery w:val="Page Numbers (Top of Page)"/>
            <w:docPartUnique/>
          </w:docPartObj>
        </w:sdtPr>
        <w:sdtEndPr/>
        <w:sdtContent>
          <w:p w14:paraId="2A981823" w14:textId="40BB880A" w:rsidR="00296F3A" w:rsidRDefault="00296F3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2BC5DE6" w14:textId="77777777" w:rsidR="00296F3A" w:rsidRDefault="0029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F9C5" w14:textId="77777777" w:rsidR="00296F3A" w:rsidRDefault="00296F3A" w:rsidP="00296F3A">
      <w:r>
        <w:separator/>
      </w:r>
    </w:p>
  </w:footnote>
  <w:footnote w:type="continuationSeparator" w:id="0">
    <w:p w14:paraId="5B787B87" w14:textId="77777777" w:rsidR="00296F3A" w:rsidRDefault="00296F3A" w:rsidP="00296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1864"/>
    <w:multiLevelType w:val="hybridMultilevel"/>
    <w:tmpl w:val="E9700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221D17"/>
    <w:multiLevelType w:val="hybridMultilevel"/>
    <w:tmpl w:val="8FB6DA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D714C"/>
    <w:multiLevelType w:val="hybridMultilevel"/>
    <w:tmpl w:val="794008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D475893"/>
    <w:multiLevelType w:val="hybridMultilevel"/>
    <w:tmpl w:val="92040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F5"/>
    <w:rsid w:val="00042C15"/>
    <w:rsid w:val="00100218"/>
    <w:rsid w:val="001B0CC2"/>
    <w:rsid w:val="00296F3A"/>
    <w:rsid w:val="004D5DE3"/>
    <w:rsid w:val="005F53E1"/>
    <w:rsid w:val="006F5AF5"/>
    <w:rsid w:val="00704378"/>
    <w:rsid w:val="007340E3"/>
    <w:rsid w:val="00766E9F"/>
    <w:rsid w:val="00771A54"/>
    <w:rsid w:val="00795F88"/>
    <w:rsid w:val="008D401B"/>
    <w:rsid w:val="008D4305"/>
    <w:rsid w:val="008E2DF8"/>
    <w:rsid w:val="00965D6F"/>
    <w:rsid w:val="00A60FE1"/>
    <w:rsid w:val="00B53C9A"/>
    <w:rsid w:val="00B672C9"/>
    <w:rsid w:val="00BB4341"/>
    <w:rsid w:val="00BF7E32"/>
    <w:rsid w:val="00CD1228"/>
    <w:rsid w:val="00CF7321"/>
    <w:rsid w:val="00D07214"/>
    <w:rsid w:val="00E13449"/>
    <w:rsid w:val="00E97092"/>
    <w:rsid w:val="00EF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9A96"/>
  <w15:chartTrackingRefBased/>
  <w15:docId w15:val="{1B57C40E-2010-4A84-B37E-46945984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1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D401B"/>
    <w:pPr>
      <w:keepNext/>
      <w:keepLines/>
      <w:spacing w:before="240"/>
      <w:outlineLvl w:val="0"/>
    </w:pPr>
    <w:rPr>
      <w:rFonts w:asciiTheme="majorHAnsi" w:eastAsiaTheme="majorEastAsia" w:hAnsiTheme="majorHAnsi" w:cstheme="majorBidi"/>
      <w:color w:val="0DB02B" w:themeColor="accent6"/>
      <w:sz w:val="32"/>
      <w:szCs w:val="32"/>
    </w:rPr>
  </w:style>
  <w:style w:type="paragraph" w:styleId="Heading2">
    <w:name w:val="heading 2"/>
    <w:basedOn w:val="Normal"/>
    <w:next w:val="Normal"/>
    <w:link w:val="Heading2Char"/>
    <w:uiPriority w:val="9"/>
    <w:unhideWhenUsed/>
    <w:qFormat/>
    <w:rsid w:val="008D401B"/>
    <w:pPr>
      <w:keepNext/>
      <w:keepLines/>
      <w:spacing w:before="40"/>
      <w:outlineLvl w:val="1"/>
    </w:pPr>
    <w:rPr>
      <w:rFonts w:asciiTheme="majorHAnsi" w:eastAsiaTheme="majorEastAsia" w:hAnsiTheme="majorHAnsi" w:cstheme="majorBidi"/>
      <w:color w:val="0DB02B" w:themeColor="accent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F5"/>
    <w:pPr>
      <w:ind w:left="720"/>
      <w:contextualSpacing/>
    </w:pPr>
  </w:style>
  <w:style w:type="paragraph" w:styleId="NormalWeb">
    <w:name w:val="Normal (Web)"/>
    <w:basedOn w:val="Normal"/>
    <w:uiPriority w:val="99"/>
    <w:semiHidden/>
    <w:unhideWhenUsed/>
    <w:rsid w:val="006F5AF5"/>
    <w:pPr>
      <w:spacing w:before="100" w:beforeAutospacing="1" w:after="100" w:afterAutospacing="1"/>
    </w:pPr>
    <w:rPr>
      <w:lang w:eastAsia="en-GB"/>
    </w:rPr>
  </w:style>
  <w:style w:type="paragraph" w:styleId="Title">
    <w:name w:val="Title"/>
    <w:basedOn w:val="Normal"/>
    <w:next w:val="Normal"/>
    <w:link w:val="TitleChar"/>
    <w:uiPriority w:val="10"/>
    <w:qFormat/>
    <w:rsid w:val="008D401B"/>
    <w:pPr>
      <w:contextualSpacing/>
    </w:pPr>
    <w:rPr>
      <w:rFonts w:asciiTheme="majorHAnsi" w:eastAsiaTheme="majorEastAsia" w:hAnsiTheme="majorHAnsi" w:cstheme="majorBidi"/>
      <w:color w:val="E16600" w:themeColor="accent5"/>
      <w:spacing w:val="-10"/>
      <w:kern w:val="28"/>
      <w:sz w:val="56"/>
      <w:szCs w:val="56"/>
    </w:rPr>
  </w:style>
  <w:style w:type="character" w:customStyle="1" w:styleId="TitleChar">
    <w:name w:val="Title Char"/>
    <w:basedOn w:val="DefaultParagraphFont"/>
    <w:link w:val="Title"/>
    <w:uiPriority w:val="10"/>
    <w:rsid w:val="008D401B"/>
    <w:rPr>
      <w:rFonts w:asciiTheme="majorHAnsi" w:eastAsiaTheme="majorEastAsia" w:hAnsiTheme="majorHAnsi" w:cstheme="majorBidi"/>
      <w:color w:val="E16600" w:themeColor="accent5"/>
      <w:spacing w:val="-10"/>
      <w:kern w:val="28"/>
      <w:sz w:val="56"/>
      <w:szCs w:val="56"/>
    </w:rPr>
  </w:style>
  <w:style w:type="character" w:customStyle="1" w:styleId="Heading1Char">
    <w:name w:val="Heading 1 Char"/>
    <w:basedOn w:val="DefaultParagraphFont"/>
    <w:link w:val="Heading1"/>
    <w:uiPriority w:val="9"/>
    <w:rsid w:val="008D401B"/>
    <w:rPr>
      <w:rFonts w:asciiTheme="majorHAnsi" w:eastAsiaTheme="majorEastAsia" w:hAnsiTheme="majorHAnsi" w:cstheme="majorBidi"/>
      <w:color w:val="0DB02B" w:themeColor="accent6"/>
      <w:sz w:val="32"/>
      <w:szCs w:val="32"/>
    </w:rPr>
  </w:style>
  <w:style w:type="paragraph" w:styleId="Header">
    <w:name w:val="header"/>
    <w:basedOn w:val="Normal"/>
    <w:link w:val="HeaderChar"/>
    <w:uiPriority w:val="99"/>
    <w:unhideWhenUsed/>
    <w:rsid w:val="00296F3A"/>
    <w:pPr>
      <w:tabs>
        <w:tab w:val="center" w:pos="4513"/>
        <w:tab w:val="right" w:pos="9026"/>
      </w:tabs>
    </w:pPr>
  </w:style>
  <w:style w:type="character" w:customStyle="1" w:styleId="HeaderChar">
    <w:name w:val="Header Char"/>
    <w:basedOn w:val="DefaultParagraphFont"/>
    <w:link w:val="Header"/>
    <w:uiPriority w:val="99"/>
    <w:rsid w:val="00296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F3A"/>
    <w:pPr>
      <w:tabs>
        <w:tab w:val="center" w:pos="4513"/>
        <w:tab w:val="right" w:pos="9026"/>
      </w:tabs>
    </w:pPr>
  </w:style>
  <w:style w:type="character" w:customStyle="1" w:styleId="FooterChar">
    <w:name w:val="Footer Char"/>
    <w:basedOn w:val="DefaultParagraphFont"/>
    <w:link w:val="Footer"/>
    <w:uiPriority w:val="99"/>
    <w:rsid w:val="00296F3A"/>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8D401B"/>
    <w:rPr>
      <w:b/>
      <w:bCs/>
      <w:smallCaps/>
      <w:color w:val="D1282E" w:themeColor="accent1"/>
      <w:spacing w:val="5"/>
    </w:rPr>
  </w:style>
  <w:style w:type="character" w:customStyle="1" w:styleId="Heading2Char">
    <w:name w:val="Heading 2 Char"/>
    <w:basedOn w:val="DefaultParagraphFont"/>
    <w:link w:val="Heading2"/>
    <w:uiPriority w:val="9"/>
    <w:rsid w:val="008D401B"/>
    <w:rPr>
      <w:rFonts w:asciiTheme="majorHAnsi" w:eastAsiaTheme="majorEastAsia" w:hAnsiTheme="majorHAnsi" w:cstheme="majorBidi"/>
      <w:color w:val="0DB02B" w:themeColor="accent6"/>
      <w:sz w:val="26"/>
      <w:szCs w:val="26"/>
    </w:rPr>
  </w:style>
  <w:style w:type="character" w:styleId="BookTitle">
    <w:name w:val="Book Title"/>
    <w:basedOn w:val="DefaultParagraphFont"/>
    <w:uiPriority w:val="33"/>
    <w:qFormat/>
    <w:rsid w:val="008D401B"/>
    <w:rPr>
      <w:b/>
      <w:bCs/>
      <w:i/>
      <w:iCs/>
      <w:spacing w:val="5"/>
    </w:rPr>
  </w:style>
  <w:style w:type="paragraph" w:styleId="Quote">
    <w:name w:val="Quote"/>
    <w:basedOn w:val="Normal"/>
    <w:next w:val="Normal"/>
    <w:link w:val="QuoteChar"/>
    <w:uiPriority w:val="29"/>
    <w:qFormat/>
    <w:rsid w:val="008D40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401B"/>
    <w:rPr>
      <w:rFonts w:ascii="Arial" w:eastAsia="Times New Roman" w:hAnsi="Arial" w:cs="Times New Roman"/>
      <w:i/>
      <w:iCs/>
      <w:color w:val="404040" w:themeColor="text1" w:themeTint="BF"/>
      <w:sz w:val="20"/>
      <w:szCs w:val="24"/>
    </w:rPr>
  </w:style>
  <w:style w:type="character" w:styleId="SubtleReference">
    <w:name w:val="Subtle Reference"/>
    <w:basedOn w:val="DefaultParagraphFont"/>
    <w:uiPriority w:val="31"/>
    <w:qFormat/>
    <w:rsid w:val="00704378"/>
    <w:rPr>
      <w:smallCaps/>
      <w:color w:val="5A5A5A" w:themeColor="text1" w:themeTint="A5"/>
    </w:rPr>
  </w:style>
  <w:style w:type="paragraph" w:styleId="BalloonText">
    <w:name w:val="Balloon Text"/>
    <w:basedOn w:val="Normal"/>
    <w:link w:val="BalloonTextChar"/>
    <w:uiPriority w:val="99"/>
    <w:semiHidden/>
    <w:unhideWhenUsed/>
    <w:rsid w:val="00771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AM Theme">
  <a:themeElements>
    <a:clrScheme name="BAM Colours">
      <a:dk1>
        <a:srgbClr val="000000"/>
      </a:dk1>
      <a:lt1>
        <a:srgbClr val="FFFFFF"/>
      </a:lt1>
      <a:dk2>
        <a:srgbClr val="0DB02B"/>
      </a:dk2>
      <a:lt2>
        <a:srgbClr val="C8C8B1"/>
      </a:lt2>
      <a:accent1>
        <a:srgbClr val="D1282E"/>
      </a:accent1>
      <a:accent2>
        <a:srgbClr val="F5C201"/>
      </a:accent2>
      <a:accent3>
        <a:srgbClr val="191EFF"/>
      </a:accent3>
      <a:accent4>
        <a:srgbClr val="7030A0"/>
      </a:accent4>
      <a:accent5>
        <a:srgbClr val="E16600"/>
      </a:accent5>
      <a:accent6>
        <a:srgbClr val="0DB02B"/>
      </a:accent6>
      <a:hlink>
        <a:srgbClr val="CC9900"/>
      </a:hlink>
      <a:folHlink>
        <a:srgbClr val="969696"/>
      </a:folHlink>
    </a:clrScheme>
    <a:fontScheme name="BAM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headEnd type="none" w="med" len="med"/>
          <a:tailEnd type="none" w="med" len="med"/>
        </a:ln>
      </a:spPr>
      <a:bodyPr vertOverflow="clip" horzOverflow="clip" wrap="square" lIns="18288" tIns="0" rIns="0" bIns="0" rtlCol="0" anchor="t" upright="1"/>
      <a:lstStyle>
        <a:defPPr algn="l">
          <a:defRPr sz="1100"/>
        </a:defPPr>
      </a:lstStyle>
      <a:style>
        <a:lnRef idx="1">
          <a:schemeClr val="accent2"/>
        </a:lnRef>
        <a:fillRef idx="2">
          <a:schemeClr val="accent2"/>
        </a:fillRef>
        <a:effectRef idx="1">
          <a:schemeClr val="accent2"/>
        </a:effectRef>
        <a:fontRef idx="minor">
          <a:schemeClr val="dk1"/>
        </a:fontRef>
      </a:style>
    </a:spDef>
    <a:lnDef>
      <a:spPr bwMode="auto">
        <a:xfrm>
          <a:off x="0" y="0"/>
          <a:ext cx="1" cy="1"/>
        </a:xfrm>
        <a:custGeom>
          <a:avLst/>
          <a:gdLst/>
          <a:ahLst/>
          <a:cxnLst/>
          <a:rect l="0" t="0" r="0" b="0"/>
          <a:pathLst/>
        </a:custGeom>
        <a:solidFill>
          <a:srgbClr xmlns:mc="http://schemas.openxmlformats.org/markup-compatibility/2006" xmlns:a14="http://schemas.microsoft.com/office/drawing/2010/main" val="090000" mc:Ignorable="a14" a14:legacySpreadsheetColorIndex="9"/>
        </a:solidFill>
        <a:ln w="9525" cap="flat" cmpd="sng" algn="ctr">
          <a:solidFill>
            <a:srgbClr xmlns:mc="http://schemas.openxmlformats.org/markup-compatibility/2006" xmlns:a14="http://schemas.microsoft.com/office/drawing/2010/main" val="400000" mc:Ignorable="a14" a14:legacySpreadsheetColorIndex="6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Overflow="clip" wrap="square" lIns="18288" tIns="0" rIns="0" bIns="0" upright="1"/>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6" ma:contentTypeDescription="Create a new document." ma:contentTypeScope="" ma:versionID="5a06c02ac7387af53e734ac13754c251">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1175abde6de66f474bc884cd123797cf"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27708-5DF8-46FD-AF36-E3207556D654}"/>
</file>

<file path=customXml/itemProps2.xml><?xml version="1.0" encoding="utf-8"?>
<ds:datastoreItem xmlns:ds="http://schemas.openxmlformats.org/officeDocument/2006/customXml" ds:itemID="{24ECEBD0-B657-476A-B694-5570BB634A64}">
  <ds:schemaRefs>
    <ds:schemaRef ds:uri="http://schemas.microsoft.com/sharepoint/v3/contenttype/forms"/>
  </ds:schemaRefs>
</ds:datastoreItem>
</file>

<file path=customXml/itemProps3.xml><?xml version="1.0" encoding="utf-8"?>
<ds:datastoreItem xmlns:ds="http://schemas.openxmlformats.org/officeDocument/2006/customXml" ds:itemID="{BBC5E733-3740-477C-BB10-9529EA6F1CD3}">
  <ds:schemaRefs>
    <ds:schemaRef ds:uri="http://purl.org/dc/elements/1.1/"/>
    <ds:schemaRef ds:uri="0d8abe9f-2342-4c77-9e5e-7c3cf2c8ee2e"/>
    <ds:schemaRef ds:uri="670eea12-9f60-46c6-83b5-8ad4e74c0ff6"/>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Emily</dc:creator>
  <cp:keywords/>
  <dc:description/>
  <cp:lastModifiedBy>Melissa Bramley</cp:lastModifiedBy>
  <cp:revision>2</cp:revision>
  <cp:lastPrinted>2021-09-10T11:30:00Z</cp:lastPrinted>
  <dcterms:created xsi:type="dcterms:W3CDTF">2021-09-13T09:03:00Z</dcterms:created>
  <dcterms:modified xsi:type="dcterms:W3CDTF">2021-09-13T09:03:00Z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